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91" w:rsidRDefault="00674491" w:rsidP="008B778F">
      <w:pPr>
        <w:pStyle w:val="Akapitzlist"/>
        <w:ind w:left="284" w:hanging="284"/>
        <w:jc w:val="both"/>
      </w:pPr>
    </w:p>
    <w:p w:rsidR="00674491" w:rsidRPr="00FD48B1" w:rsidRDefault="00FD48B1" w:rsidP="00FD48B1">
      <w:pPr>
        <w:pStyle w:val="Akapitzlist"/>
        <w:ind w:left="284" w:hanging="284"/>
        <w:jc w:val="center"/>
        <w:rPr>
          <w:b/>
          <w:sz w:val="36"/>
          <w:szCs w:val="36"/>
        </w:rPr>
      </w:pPr>
      <w:r w:rsidRPr="00FD48B1">
        <w:rPr>
          <w:b/>
          <w:sz w:val="36"/>
          <w:szCs w:val="36"/>
        </w:rPr>
        <w:t>TTIP - zagrożenie dla rolnictwa i zdrowej żuwności</w:t>
      </w:r>
    </w:p>
    <w:p w:rsidR="00FD48B1" w:rsidRDefault="00FD48B1" w:rsidP="008B778F">
      <w:pPr>
        <w:pStyle w:val="Akapitzlist"/>
        <w:ind w:left="284" w:hanging="284"/>
        <w:jc w:val="both"/>
        <w:rPr>
          <w:b/>
        </w:rPr>
      </w:pPr>
    </w:p>
    <w:p w:rsidR="00674491" w:rsidRDefault="00674491" w:rsidP="00FD48B1">
      <w:pPr>
        <w:pStyle w:val="Akapitzlist"/>
        <w:ind w:left="284" w:hanging="284"/>
        <w:jc w:val="center"/>
      </w:pPr>
      <w:r w:rsidRPr="00674491">
        <w:rPr>
          <w:b/>
        </w:rPr>
        <w:t>Autor:</w:t>
      </w:r>
      <w:r>
        <w:t xml:space="preserve"> Roman Izdebski</w:t>
      </w:r>
    </w:p>
    <w:p w:rsidR="00674491" w:rsidRDefault="00674491" w:rsidP="008B778F">
      <w:pPr>
        <w:pStyle w:val="Akapitzlist"/>
        <w:ind w:left="284" w:hanging="284"/>
        <w:jc w:val="both"/>
      </w:pPr>
    </w:p>
    <w:p w:rsidR="00CA16FB" w:rsidRDefault="00CA16FB" w:rsidP="008B778F">
      <w:pPr>
        <w:pStyle w:val="Akapitzlist"/>
        <w:ind w:left="284" w:hanging="284"/>
        <w:jc w:val="both"/>
      </w:pPr>
    </w:p>
    <w:p w:rsidR="00FD48B1" w:rsidRPr="00FD48B1" w:rsidRDefault="00FD48B1" w:rsidP="00FD48B1">
      <w:pPr>
        <w:shd w:val="clear" w:color="auto" w:fill="FFFFFF"/>
        <w:spacing w:before="120" w:after="120" w:line="194" w:lineRule="atLeast"/>
        <w:jc w:val="both"/>
        <w:rPr>
          <w:rFonts w:ascii="Bodoni MT" w:eastAsia="Times New Roman" w:hAnsi="Bodoni MT" w:cs="Arial"/>
          <w:color w:val="252525"/>
          <w:lang w:eastAsia="pl-PL"/>
        </w:rPr>
      </w:pPr>
      <w:r w:rsidRPr="00FD48B1">
        <w:rPr>
          <w:rFonts w:ascii="Bodoni MT" w:eastAsia="Times New Roman" w:hAnsi="Bodoni MT" w:cs="Arial"/>
          <w:b/>
          <w:bCs/>
          <w:color w:val="252525"/>
          <w:lang w:eastAsia="pl-PL"/>
        </w:rPr>
        <w:t>Transatlantic Trade and Investment Partnership</w:t>
      </w:r>
      <w:r w:rsidRPr="00064687">
        <w:rPr>
          <w:rFonts w:ascii="Bodoni MT" w:eastAsia="Times New Roman" w:hAnsi="Bodoni MT" w:cs="Arial"/>
          <w:color w:val="252525"/>
          <w:lang w:eastAsia="pl-PL"/>
        </w:rPr>
        <w:t> </w:t>
      </w:r>
      <w:r w:rsidRPr="00FD48B1">
        <w:rPr>
          <w:rFonts w:ascii="Bodoni MT" w:eastAsia="Times New Roman" w:hAnsi="Bodoni MT" w:cs="Arial"/>
          <w:color w:val="252525"/>
          <w:lang w:eastAsia="pl-PL"/>
        </w:rPr>
        <w:t>(TTIP) (Transatlantyckie Partnerstwo w dziedzinie Handlu i Inwestycji) – porozumienie handlowe negocjowane od 2013 roku, którego głównym celem jest utworzenie</w:t>
      </w:r>
      <w:r w:rsidRPr="00064687">
        <w:rPr>
          <w:rFonts w:ascii="Bodoni MT" w:eastAsia="Times New Roman" w:hAnsi="Bodoni MT" w:cs="Arial"/>
          <w:color w:val="252525"/>
          <w:lang w:eastAsia="pl-PL"/>
        </w:rPr>
        <w:t> </w:t>
      </w:r>
      <w:hyperlink r:id="rId6" w:tooltip="Strefa wolnego handlu" w:history="1">
        <w:r w:rsidRPr="00064687">
          <w:rPr>
            <w:rFonts w:ascii="Bodoni MT" w:eastAsia="Times New Roman" w:hAnsi="Bodoni MT" w:cs="Arial"/>
            <w:lang w:eastAsia="pl-PL"/>
          </w:rPr>
          <w:t>strefy wolnego handlu</w:t>
        </w:r>
      </w:hyperlink>
      <w:r w:rsidRPr="00064687">
        <w:rPr>
          <w:rFonts w:ascii="Bodoni MT" w:eastAsia="Times New Roman" w:hAnsi="Bodoni MT" w:cs="Arial"/>
          <w:lang w:eastAsia="pl-PL"/>
        </w:rPr>
        <w:t> </w:t>
      </w:r>
      <w:r w:rsidRPr="00FD48B1">
        <w:rPr>
          <w:rFonts w:ascii="Bodoni MT" w:eastAsia="Times New Roman" w:hAnsi="Bodoni MT" w:cs="Arial"/>
          <w:color w:val="252525"/>
          <w:lang w:eastAsia="pl-PL"/>
        </w:rPr>
        <w:t>pomi</w:t>
      </w:r>
      <w:r w:rsidRPr="00FD48B1">
        <w:rPr>
          <w:rFonts w:eastAsia="Times New Roman"/>
          <w:color w:val="252525"/>
          <w:lang w:eastAsia="pl-PL"/>
        </w:rPr>
        <w:t>ę</w:t>
      </w:r>
      <w:r w:rsidRPr="00FD48B1">
        <w:rPr>
          <w:rFonts w:ascii="Bodoni MT" w:eastAsia="Times New Roman" w:hAnsi="Bodoni MT" w:cs="Arial"/>
          <w:color w:val="252525"/>
          <w:lang w:eastAsia="pl-PL"/>
        </w:rPr>
        <w:t>dzy</w:t>
      </w:r>
      <w:r w:rsidRPr="00064687">
        <w:rPr>
          <w:rFonts w:ascii="Bodoni MT" w:eastAsia="Times New Roman" w:hAnsi="Bodoni MT" w:cs="Arial"/>
          <w:color w:val="252525"/>
          <w:lang w:eastAsia="pl-PL"/>
        </w:rPr>
        <w:t xml:space="preserve"> </w:t>
      </w:r>
      <w:hyperlink r:id="rId7" w:tooltip="Stany Zjednoczone" w:history="1">
        <w:r w:rsidRPr="00064687">
          <w:rPr>
            <w:rFonts w:ascii="Bodoni MT" w:eastAsia="Times New Roman" w:hAnsi="Bodoni MT" w:cs="Arial"/>
            <w:lang w:eastAsia="pl-PL"/>
          </w:rPr>
          <w:t>Stanami Zjednoczonymi</w:t>
        </w:r>
      </w:hyperlink>
      <w:r w:rsidRPr="00064687">
        <w:rPr>
          <w:rFonts w:ascii="Bodoni MT" w:eastAsia="Times New Roman" w:hAnsi="Bodoni MT" w:cs="Arial"/>
          <w:lang w:eastAsia="pl-PL"/>
        </w:rPr>
        <w:t> </w:t>
      </w:r>
      <w:r w:rsidRPr="00FD48B1">
        <w:rPr>
          <w:rFonts w:ascii="Bodoni MT" w:eastAsia="Times New Roman" w:hAnsi="Bodoni MT" w:cs="Arial"/>
          <w:lang w:eastAsia="pl-PL"/>
        </w:rPr>
        <w:t>a</w:t>
      </w:r>
      <w:r w:rsidRPr="00064687">
        <w:rPr>
          <w:rFonts w:ascii="Bodoni MT" w:eastAsia="Times New Roman" w:hAnsi="Bodoni MT" w:cs="Arial"/>
          <w:lang w:eastAsia="pl-PL"/>
        </w:rPr>
        <w:t> </w:t>
      </w:r>
      <w:hyperlink r:id="rId8" w:tooltip="Unia Europejska" w:history="1">
        <w:r w:rsidRPr="00064687">
          <w:rPr>
            <w:rFonts w:ascii="Bodoni MT" w:eastAsia="Times New Roman" w:hAnsi="Bodoni MT" w:cs="Arial"/>
            <w:lang w:eastAsia="pl-PL"/>
          </w:rPr>
          <w:t>Uni</w:t>
        </w:r>
        <w:r w:rsidRPr="00064687">
          <w:rPr>
            <w:rFonts w:eastAsia="Times New Roman"/>
            <w:lang w:eastAsia="pl-PL"/>
          </w:rPr>
          <w:t>ą</w:t>
        </w:r>
        <w:r w:rsidRPr="00064687">
          <w:rPr>
            <w:rFonts w:ascii="Bodoni MT" w:eastAsia="Times New Roman" w:hAnsi="Bodoni MT" w:cs="Arial"/>
            <w:lang w:eastAsia="pl-PL"/>
          </w:rPr>
          <w:t xml:space="preserve"> Europejsk</w:t>
        </w:r>
        <w:r w:rsidRPr="00064687">
          <w:rPr>
            <w:rFonts w:eastAsia="Times New Roman"/>
            <w:lang w:eastAsia="pl-PL"/>
          </w:rPr>
          <w:t>ą</w:t>
        </w:r>
      </w:hyperlink>
      <w:r w:rsidRPr="00FD48B1">
        <w:rPr>
          <w:rFonts w:ascii="Bodoni MT" w:eastAsia="Times New Roman" w:hAnsi="Bodoni MT" w:cs="Arial"/>
          <w:color w:val="252525"/>
          <w:lang w:eastAsia="pl-PL"/>
        </w:rPr>
        <w:t>. W lutym 2014 r. komisarz UE</w:t>
      </w:r>
      <w:r w:rsidRPr="00064687">
        <w:rPr>
          <w:rFonts w:ascii="Bodoni MT" w:eastAsia="Times New Roman" w:hAnsi="Bodoni MT" w:cs="Arial"/>
          <w:color w:val="252525"/>
          <w:lang w:eastAsia="pl-PL"/>
        </w:rPr>
        <w:t> </w:t>
      </w:r>
      <w:hyperlink r:id="rId9" w:tooltip="Karel De Gucht" w:history="1">
        <w:r w:rsidRPr="00064687">
          <w:rPr>
            <w:rFonts w:ascii="Bodoni MT" w:eastAsia="Times New Roman" w:hAnsi="Bodoni MT" w:cs="Arial"/>
            <w:lang w:eastAsia="pl-PL"/>
          </w:rPr>
          <w:t>Karel De Gucht</w:t>
        </w:r>
      </w:hyperlink>
      <w:r w:rsidRPr="00064687">
        <w:rPr>
          <w:rFonts w:ascii="Bodoni MT" w:eastAsia="Times New Roman" w:hAnsi="Bodoni MT" w:cs="Arial"/>
          <w:color w:val="252525"/>
          <w:lang w:eastAsia="pl-PL"/>
        </w:rPr>
        <w:t xml:space="preserve"> </w:t>
      </w:r>
      <w:r w:rsidRPr="00FD48B1">
        <w:rPr>
          <w:rFonts w:ascii="Bodoni MT" w:eastAsia="Times New Roman" w:hAnsi="Bodoni MT" w:cs="Arial"/>
          <w:color w:val="252525"/>
          <w:lang w:eastAsia="pl-PL"/>
        </w:rPr>
        <w:t>wyraził nadziej</w:t>
      </w:r>
      <w:r w:rsidRPr="00FD48B1">
        <w:rPr>
          <w:rFonts w:eastAsia="Times New Roman"/>
          <w:color w:val="252525"/>
          <w:lang w:eastAsia="pl-PL"/>
        </w:rPr>
        <w:t>ę</w:t>
      </w:r>
      <w:r w:rsidRPr="00FD48B1">
        <w:rPr>
          <w:rFonts w:ascii="Bodoni MT" w:eastAsia="Times New Roman" w:hAnsi="Bodoni MT" w:cs="Arial"/>
          <w:color w:val="252525"/>
          <w:lang w:eastAsia="pl-PL"/>
        </w:rPr>
        <w:t xml:space="preserve">, </w:t>
      </w:r>
      <w:r w:rsidRPr="00FD48B1">
        <w:rPr>
          <w:rFonts w:eastAsia="Times New Roman"/>
          <w:color w:val="252525"/>
          <w:lang w:eastAsia="pl-PL"/>
        </w:rPr>
        <w:t>ż</w:t>
      </w:r>
      <w:r w:rsidRPr="00FD48B1">
        <w:rPr>
          <w:rFonts w:ascii="Bodoni MT" w:eastAsia="Times New Roman" w:hAnsi="Bodoni MT" w:cs="Arial"/>
          <w:color w:val="252525"/>
          <w:lang w:eastAsia="pl-PL"/>
        </w:rPr>
        <w:t>e porozumienie zwi</w:t>
      </w:r>
      <w:r w:rsidRPr="00FD48B1">
        <w:rPr>
          <w:rFonts w:eastAsia="Times New Roman"/>
          <w:color w:val="252525"/>
          <w:lang w:eastAsia="pl-PL"/>
        </w:rPr>
        <w:t>ę</w:t>
      </w:r>
      <w:r w:rsidRPr="00FD48B1">
        <w:rPr>
          <w:rFonts w:ascii="Bodoni MT" w:eastAsia="Times New Roman" w:hAnsi="Bodoni MT" w:cs="Arial"/>
          <w:color w:val="252525"/>
          <w:lang w:eastAsia="pl-PL"/>
        </w:rPr>
        <w:t>kszy doch</w:t>
      </w:r>
      <w:r w:rsidRPr="00FD48B1">
        <w:rPr>
          <w:rFonts w:ascii="Bodoni MT" w:eastAsia="Times New Roman" w:hAnsi="Bodoni MT" w:cs="Bodoni MT"/>
          <w:color w:val="252525"/>
          <w:lang w:eastAsia="pl-PL"/>
        </w:rPr>
        <w:t>ó</w:t>
      </w:r>
      <w:r w:rsidRPr="00FD48B1">
        <w:rPr>
          <w:rFonts w:ascii="Bodoni MT" w:eastAsia="Times New Roman" w:hAnsi="Bodoni MT" w:cs="Arial"/>
          <w:color w:val="252525"/>
          <w:lang w:eastAsia="pl-PL"/>
        </w:rPr>
        <w:t xml:space="preserve">d narodowy obu stron o ok. 0,5%. Inne </w:t>
      </w:r>
      <w:r w:rsidRPr="00FD48B1">
        <w:rPr>
          <w:rFonts w:eastAsia="Times New Roman"/>
          <w:color w:val="252525"/>
          <w:lang w:eastAsia="pl-PL"/>
        </w:rPr>
        <w:t>ź</w:t>
      </w:r>
      <w:r w:rsidRPr="00FD48B1">
        <w:rPr>
          <w:rFonts w:ascii="Bodoni MT" w:eastAsia="Times New Roman" w:hAnsi="Bodoni MT" w:cs="Arial"/>
          <w:color w:val="252525"/>
          <w:lang w:eastAsia="pl-PL"/>
        </w:rPr>
        <w:t>r</w:t>
      </w:r>
      <w:r w:rsidRPr="00FD48B1">
        <w:rPr>
          <w:rFonts w:ascii="Bodoni MT" w:eastAsia="Times New Roman" w:hAnsi="Bodoni MT" w:cs="Bodoni MT"/>
          <w:color w:val="252525"/>
          <w:lang w:eastAsia="pl-PL"/>
        </w:rPr>
        <w:t>ó</w:t>
      </w:r>
      <w:r w:rsidRPr="00FD48B1">
        <w:rPr>
          <w:rFonts w:ascii="Bodoni MT" w:eastAsia="Times New Roman" w:hAnsi="Bodoni MT" w:cs="Arial"/>
          <w:color w:val="252525"/>
          <w:lang w:eastAsia="pl-PL"/>
        </w:rPr>
        <w:t>d</w:t>
      </w:r>
      <w:r w:rsidRPr="00FD48B1">
        <w:rPr>
          <w:rFonts w:ascii="Bodoni MT" w:eastAsia="Times New Roman" w:hAnsi="Bodoni MT" w:cs="Bodoni MT"/>
          <w:color w:val="252525"/>
          <w:lang w:eastAsia="pl-PL"/>
        </w:rPr>
        <w:t>ł</w:t>
      </w:r>
      <w:r w:rsidRPr="00FD48B1">
        <w:rPr>
          <w:rFonts w:ascii="Bodoni MT" w:eastAsia="Times New Roman" w:hAnsi="Bodoni MT" w:cs="Arial"/>
          <w:color w:val="252525"/>
          <w:lang w:eastAsia="pl-PL"/>
        </w:rPr>
        <w:t>a</w:t>
      </w:r>
      <w:r w:rsidRPr="00064687">
        <w:rPr>
          <w:rFonts w:ascii="Bodoni MT" w:eastAsia="Times New Roman" w:hAnsi="Bodoni MT" w:cs="Arial"/>
          <w:color w:val="252525"/>
          <w:lang w:eastAsia="pl-PL"/>
        </w:rPr>
        <w:t> </w:t>
      </w:r>
      <w:r w:rsidRPr="00FD48B1">
        <w:rPr>
          <w:rFonts w:ascii="Bodoni MT" w:eastAsia="Times New Roman" w:hAnsi="Bodoni MT" w:cs="Arial"/>
          <w:color w:val="252525"/>
          <w:lang w:eastAsia="pl-PL"/>
        </w:rPr>
        <w:t>wskazuj</w:t>
      </w:r>
      <w:r w:rsidRPr="00FD48B1">
        <w:rPr>
          <w:rFonts w:eastAsia="Times New Roman"/>
          <w:color w:val="252525"/>
          <w:lang w:eastAsia="pl-PL"/>
        </w:rPr>
        <w:t>ą</w:t>
      </w:r>
      <w:r w:rsidRPr="00FD48B1">
        <w:rPr>
          <w:rFonts w:ascii="Bodoni MT" w:eastAsia="Times New Roman" w:hAnsi="Bodoni MT" w:cs="Arial"/>
          <w:color w:val="252525"/>
          <w:lang w:eastAsia="pl-PL"/>
        </w:rPr>
        <w:t xml:space="preserve"> jednak wysokie prawdopodobie</w:t>
      </w:r>
      <w:r w:rsidRPr="00FD48B1">
        <w:rPr>
          <w:rFonts w:eastAsia="Times New Roman"/>
          <w:color w:val="252525"/>
          <w:lang w:eastAsia="pl-PL"/>
        </w:rPr>
        <w:t>ń</w:t>
      </w:r>
      <w:r w:rsidRPr="00FD48B1">
        <w:rPr>
          <w:rFonts w:ascii="Bodoni MT" w:eastAsia="Times New Roman" w:hAnsi="Bodoni MT" w:cs="Arial"/>
          <w:color w:val="252525"/>
          <w:lang w:eastAsia="pl-PL"/>
        </w:rPr>
        <w:t>stwo utraty 600 tys</w:t>
      </w:r>
      <w:r w:rsidRPr="00FD48B1">
        <w:rPr>
          <w:rFonts w:ascii="Bodoni MT" w:eastAsia="Times New Roman" w:hAnsi="Bodoni MT" w:cs="Arial"/>
          <w:lang w:eastAsia="pl-PL"/>
        </w:rPr>
        <w:t>.</w:t>
      </w:r>
      <w:r w:rsidRPr="00064687">
        <w:rPr>
          <w:rFonts w:ascii="Bodoni MT" w:eastAsia="Times New Roman" w:hAnsi="Bodoni MT" w:cs="Arial"/>
          <w:lang w:eastAsia="pl-PL"/>
        </w:rPr>
        <w:t> </w:t>
      </w:r>
      <w:hyperlink r:id="rId10" w:tooltip="Miejsce pracy" w:history="1">
        <w:r w:rsidRPr="00064687">
          <w:rPr>
            <w:rFonts w:ascii="Bodoni MT" w:eastAsia="Times New Roman" w:hAnsi="Bodoni MT" w:cs="Arial"/>
            <w:lang w:eastAsia="pl-PL"/>
          </w:rPr>
          <w:t>miejsc pracy</w:t>
        </w:r>
      </w:hyperlink>
      <w:r w:rsidRPr="00064687">
        <w:rPr>
          <w:rFonts w:ascii="Bodoni MT" w:eastAsia="Times New Roman" w:hAnsi="Bodoni MT" w:cs="Arial"/>
          <w:color w:val="252525"/>
          <w:lang w:eastAsia="pl-PL"/>
        </w:rPr>
        <w:t> </w:t>
      </w:r>
      <w:r w:rsidRPr="00FD48B1">
        <w:rPr>
          <w:rFonts w:ascii="Bodoni MT" w:eastAsia="Times New Roman" w:hAnsi="Bodoni MT" w:cs="Arial"/>
          <w:color w:val="252525"/>
          <w:lang w:eastAsia="pl-PL"/>
        </w:rPr>
        <w:t>w UE.</w:t>
      </w:r>
    </w:p>
    <w:p w:rsidR="00FD48B1" w:rsidRPr="00FD48B1" w:rsidRDefault="00FD48B1" w:rsidP="00FD48B1">
      <w:pPr>
        <w:shd w:val="clear" w:color="auto" w:fill="FFFFFF"/>
        <w:spacing w:before="120" w:after="120" w:line="194" w:lineRule="atLeast"/>
        <w:jc w:val="both"/>
        <w:rPr>
          <w:rFonts w:ascii="Bodoni MT" w:eastAsia="Times New Roman" w:hAnsi="Bodoni MT" w:cs="Arial"/>
          <w:color w:val="252525"/>
          <w:lang w:eastAsia="pl-PL"/>
        </w:rPr>
      </w:pPr>
      <w:r w:rsidRPr="00FD48B1">
        <w:rPr>
          <w:rFonts w:ascii="Bodoni MT" w:eastAsia="Times New Roman" w:hAnsi="Bodoni MT" w:cs="Arial"/>
          <w:color w:val="252525"/>
          <w:lang w:eastAsia="pl-PL"/>
        </w:rPr>
        <w:t>Porozumienie tego rodzaju wymaga ujednolicenia norm technicznych oraz usuni</w:t>
      </w:r>
      <w:r w:rsidRPr="00FD48B1">
        <w:rPr>
          <w:rFonts w:eastAsia="Times New Roman"/>
          <w:color w:val="252525"/>
          <w:lang w:eastAsia="pl-PL"/>
        </w:rPr>
        <w:t>ę</w:t>
      </w:r>
      <w:r w:rsidRPr="00FD48B1">
        <w:rPr>
          <w:rFonts w:ascii="Bodoni MT" w:eastAsia="Times New Roman" w:hAnsi="Bodoni MT" w:cs="Arial"/>
          <w:color w:val="252525"/>
          <w:lang w:eastAsia="pl-PL"/>
        </w:rPr>
        <w:t>cia barier w handlu (</w:t>
      </w:r>
      <w:hyperlink r:id="rId11" w:tooltip="Cło" w:history="1">
        <w:r w:rsidRPr="00064687">
          <w:rPr>
            <w:rFonts w:ascii="Bodoni MT" w:eastAsia="Times New Roman" w:hAnsi="Bodoni MT" w:cs="Arial"/>
            <w:color w:val="0B0080"/>
            <w:lang w:eastAsia="pl-PL"/>
          </w:rPr>
          <w:t>ceł</w:t>
        </w:r>
      </w:hyperlink>
      <w:r w:rsidRPr="00FD48B1">
        <w:rPr>
          <w:rFonts w:ascii="Bodoni MT" w:eastAsia="Times New Roman" w:hAnsi="Bodoni MT" w:cs="Arial"/>
          <w:color w:val="252525"/>
          <w:lang w:eastAsia="pl-PL"/>
        </w:rPr>
        <w:t>, ró</w:t>
      </w:r>
      <w:r w:rsidRPr="00FD48B1">
        <w:rPr>
          <w:rFonts w:eastAsia="Times New Roman"/>
          <w:color w:val="252525"/>
          <w:lang w:eastAsia="pl-PL"/>
        </w:rPr>
        <w:t>ż</w:t>
      </w:r>
      <w:r w:rsidRPr="00FD48B1">
        <w:rPr>
          <w:rFonts w:ascii="Bodoni MT" w:eastAsia="Times New Roman" w:hAnsi="Bodoni MT" w:cs="Arial"/>
          <w:color w:val="252525"/>
          <w:lang w:eastAsia="pl-PL"/>
        </w:rPr>
        <w:t>nic w regulacjach, ogranicze</w:t>
      </w:r>
      <w:r w:rsidRPr="00FD48B1">
        <w:rPr>
          <w:rFonts w:eastAsia="Times New Roman"/>
          <w:color w:val="252525"/>
          <w:lang w:eastAsia="pl-PL"/>
        </w:rPr>
        <w:t>ń</w:t>
      </w:r>
      <w:r w:rsidRPr="00FD48B1">
        <w:rPr>
          <w:rFonts w:ascii="Bodoni MT" w:eastAsia="Times New Roman" w:hAnsi="Bodoni MT" w:cs="Arial"/>
          <w:color w:val="252525"/>
          <w:lang w:eastAsia="pl-PL"/>
        </w:rPr>
        <w:t xml:space="preserve"> w zakresie inwestycji itp.).</w:t>
      </w:r>
    </w:p>
    <w:p w:rsidR="00FD48B1" w:rsidRPr="00064687" w:rsidRDefault="00FD48B1" w:rsidP="00FD48B1">
      <w:pPr>
        <w:shd w:val="clear" w:color="auto" w:fill="FFFFFF"/>
        <w:spacing w:before="120" w:after="120" w:line="194" w:lineRule="atLeast"/>
        <w:jc w:val="both"/>
        <w:rPr>
          <w:rFonts w:ascii="Bodoni MT" w:eastAsia="Times New Roman" w:hAnsi="Bodoni MT" w:cs="Arial"/>
          <w:color w:val="252525"/>
          <w:lang w:eastAsia="pl-PL"/>
        </w:rPr>
      </w:pPr>
      <w:r w:rsidRPr="00FD48B1">
        <w:rPr>
          <w:rFonts w:ascii="Bodoni MT" w:eastAsia="Times New Roman" w:hAnsi="Bodoni MT" w:cs="Arial"/>
          <w:color w:val="252525"/>
          <w:lang w:eastAsia="pl-PL"/>
        </w:rPr>
        <w:t>Negocjacje obj</w:t>
      </w:r>
      <w:r w:rsidRPr="00FD48B1">
        <w:rPr>
          <w:rFonts w:eastAsia="Times New Roman"/>
          <w:color w:val="252525"/>
          <w:lang w:eastAsia="pl-PL"/>
        </w:rPr>
        <w:t>ę</w:t>
      </w:r>
      <w:r w:rsidRPr="00FD48B1">
        <w:rPr>
          <w:rFonts w:ascii="Bodoni MT" w:eastAsia="Times New Roman" w:hAnsi="Bodoni MT" w:cs="Arial"/>
          <w:color w:val="252525"/>
          <w:lang w:eastAsia="pl-PL"/>
        </w:rPr>
        <w:t>te s</w:t>
      </w:r>
      <w:r w:rsidRPr="00FD48B1">
        <w:rPr>
          <w:rFonts w:eastAsia="Times New Roman"/>
          <w:color w:val="252525"/>
          <w:lang w:eastAsia="pl-PL"/>
        </w:rPr>
        <w:t>ą</w:t>
      </w:r>
      <w:r w:rsidRPr="00FD48B1">
        <w:rPr>
          <w:rFonts w:ascii="Bodoni MT" w:eastAsia="Times New Roman" w:hAnsi="Bodoni MT" w:cs="Arial"/>
          <w:color w:val="252525"/>
          <w:lang w:eastAsia="pl-PL"/>
        </w:rPr>
        <w:t xml:space="preserve"> tajemnic</w:t>
      </w:r>
      <w:r w:rsidRPr="00FD48B1">
        <w:rPr>
          <w:rFonts w:eastAsia="Times New Roman"/>
          <w:color w:val="252525"/>
          <w:lang w:eastAsia="pl-PL"/>
        </w:rPr>
        <w:t>ą</w:t>
      </w:r>
      <w:r w:rsidRPr="00FD48B1">
        <w:rPr>
          <w:rFonts w:ascii="Bodoni MT" w:eastAsia="Times New Roman" w:hAnsi="Bodoni MT" w:cs="Arial"/>
          <w:color w:val="252525"/>
          <w:lang w:eastAsia="pl-PL"/>
        </w:rPr>
        <w:t>. Aby uspokoi</w:t>
      </w:r>
      <w:r w:rsidRPr="00FD48B1">
        <w:rPr>
          <w:rFonts w:eastAsia="Times New Roman"/>
          <w:color w:val="252525"/>
          <w:lang w:eastAsia="pl-PL"/>
        </w:rPr>
        <w:t>ć</w:t>
      </w:r>
      <w:r w:rsidRPr="00FD48B1">
        <w:rPr>
          <w:rFonts w:ascii="Bodoni MT" w:eastAsia="Times New Roman" w:hAnsi="Bodoni MT" w:cs="Arial"/>
          <w:color w:val="252525"/>
          <w:lang w:eastAsia="pl-PL"/>
        </w:rPr>
        <w:t xml:space="preserve"> opini</w:t>
      </w:r>
      <w:r w:rsidRPr="00FD48B1">
        <w:rPr>
          <w:rFonts w:eastAsia="Times New Roman"/>
          <w:color w:val="252525"/>
          <w:lang w:eastAsia="pl-PL"/>
        </w:rPr>
        <w:t>ę</w:t>
      </w:r>
      <w:r w:rsidRPr="00FD48B1">
        <w:rPr>
          <w:rFonts w:ascii="Bodoni MT" w:eastAsia="Times New Roman" w:hAnsi="Bodoni MT" w:cs="Arial"/>
          <w:color w:val="252525"/>
          <w:lang w:eastAsia="pl-PL"/>
        </w:rPr>
        <w:t xml:space="preserve"> publiczn</w:t>
      </w:r>
      <w:r w:rsidRPr="00FD48B1">
        <w:rPr>
          <w:rFonts w:eastAsia="Times New Roman"/>
          <w:color w:val="252525"/>
          <w:lang w:eastAsia="pl-PL"/>
        </w:rPr>
        <w:t>ą</w:t>
      </w:r>
      <w:r w:rsidRPr="00064687">
        <w:rPr>
          <w:rFonts w:ascii="Bodoni MT" w:eastAsia="Times New Roman" w:hAnsi="Bodoni MT" w:cs="Arial"/>
          <w:color w:val="252525"/>
          <w:lang w:eastAsia="pl-PL"/>
        </w:rPr>
        <w:t> </w:t>
      </w:r>
      <w:hyperlink r:id="rId12" w:tooltip="Komisja Europejska" w:history="1">
        <w:r w:rsidRPr="00064687">
          <w:rPr>
            <w:rFonts w:ascii="Bodoni MT" w:eastAsia="Times New Roman" w:hAnsi="Bodoni MT" w:cs="Arial"/>
            <w:lang w:eastAsia="pl-PL"/>
          </w:rPr>
          <w:t>Komisja Europejska</w:t>
        </w:r>
      </w:hyperlink>
      <w:r w:rsidR="00064687" w:rsidRPr="00064687">
        <w:rPr>
          <w:rFonts w:ascii="Bodoni MT" w:eastAsia="Times New Roman" w:hAnsi="Bodoni MT" w:cs="Arial"/>
          <w:lang w:eastAsia="pl-PL"/>
        </w:rPr>
        <w:t xml:space="preserve"> </w:t>
      </w:r>
      <w:r w:rsidRPr="00FD48B1">
        <w:rPr>
          <w:rFonts w:ascii="Bodoni MT" w:eastAsia="Times New Roman" w:hAnsi="Bodoni MT" w:cs="Arial"/>
          <w:lang w:eastAsia="pl-PL"/>
        </w:rPr>
        <w:t xml:space="preserve">latem </w:t>
      </w:r>
      <w:r w:rsidRPr="00FD48B1">
        <w:rPr>
          <w:rFonts w:ascii="Bodoni MT" w:eastAsia="Times New Roman" w:hAnsi="Bodoni MT" w:cs="Arial"/>
          <w:color w:val="252525"/>
          <w:lang w:eastAsia="pl-PL"/>
        </w:rPr>
        <w:t>2014 r. opublikowała wybrane materiały informacyjne i komentarze</w:t>
      </w:r>
      <w:r w:rsidRPr="00064687">
        <w:rPr>
          <w:rFonts w:ascii="Bodoni MT" w:eastAsia="Times New Roman" w:hAnsi="Bodoni MT" w:cs="Arial"/>
          <w:color w:val="252525"/>
          <w:lang w:eastAsia="pl-PL"/>
        </w:rPr>
        <w:t> </w:t>
      </w:r>
      <w:r w:rsidRPr="00FD48B1">
        <w:rPr>
          <w:rFonts w:ascii="Bodoni MT" w:eastAsia="Times New Roman" w:hAnsi="Bodoni MT" w:cs="Arial"/>
          <w:color w:val="252525"/>
          <w:lang w:eastAsia="pl-PL"/>
        </w:rPr>
        <w:t>oraz obszerne materiały promocyjno-propagandowe, które jednak nie obejmuj</w:t>
      </w:r>
      <w:r w:rsidRPr="00FD48B1">
        <w:rPr>
          <w:rFonts w:eastAsia="Times New Roman"/>
          <w:color w:val="252525"/>
          <w:lang w:eastAsia="pl-PL"/>
        </w:rPr>
        <w:t>ą</w:t>
      </w:r>
      <w:r w:rsidRPr="00FD48B1">
        <w:rPr>
          <w:rFonts w:ascii="Bodoni MT" w:eastAsia="Times New Roman" w:hAnsi="Bodoni MT" w:cs="Arial"/>
          <w:color w:val="252525"/>
          <w:lang w:eastAsia="pl-PL"/>
        </w:rPr>
        <w:t xml:space="preserve"> tre</w:t>
      </w:r>
      <w:r w:rsidRPr="00FD48B1">
        <w:rPr>
          <w:rFonts w:eastAsia="Times New Roman"/>
          <w:color w:val="252525"/>
          <w:lang w:eastAsia="pl-PL"/>
        </w:rPr>
        <w:t>ś</w:t>
      </w:r>
      <w:r w:rsidRPr="00FD48B1">
        <w:rPr>
          <w:rFonts w:ascii="Bodoni MT" w:eastAsia="Times New Roman" w:hAnsi="Bodoni MT" w:cs="Arial"/>
          <w:color w:val="252525"/>
          <w:lang w:eastAsia="pl-PL"/>
        </w:rPr>
        <w:t>ci negocjowanych zapis</w:t>
      </w:r>
      <w:r w:rsidRPr="00FD48B1">
        <w:rPr>
          <w:rFonts w:ascii="Bodoni MT" w:eastAsia="Times New Roman" w:hAnsi="Bodoni MT" w:cs="Bodoni MT"/>
          <w:color w:val="252525"/>
          <w:lang w:eastAsia="pl-PL"/>
        </w:rPr>
        <w:t>ó</w:t>
      </w:r>
      <w:r w:rsidRPr="00FD48B1">
        <w:rPr>
          <w:rFonts w:ascii="Bodoni MT" w:eastAsia="Times New Roman" w:hAnsi="Bodoni MT" w:cs="Arial"/>
          <w:color w:val="252525"/>
          <w:lang w:eastAsia="pl-PL"/>
        </w:rPr>
        <w:t>w</w:t>
      </w:r>
      <w:r w:rsidR="00064687" w:rsidRPr="00064687">
        <w:rPr>
          <w:rFonts w:ascii="Bodoni MT" w:eastAsia="Times New Roman" w:hAnsi="Bodoni MT" w:cs="Arial"/>
          <w:color w:val="252525"/>
          <w:lang w:eastAsia="pl-PL"/>
        </w:rPr>
        <w:t>.</w:t>
      </w:r>
    </w:p>
    <w:p w:rsidR="00064687" w:rsidRPr="00FD48B1" w:rsidRDefault="00064687" w:rsidP="00FD48B1">
      <w:pPr>
        <w:shd w:val="clear" w:color="auto" w:fill="FFFFFF"/>
        <w:spacing w:before="120" w:after="120" w:line="194" w:lineRule="atLeast"/>
        <w:jc w:val="both"/>
        <w:rPr>
          <w:rFonts w:ascii="Bodoni MT" w:eastAsia="Times New Roman" w:hAnsi="Bodoni MT" w:cs="Arial"/>
          <w:color w:val="252525"/>
          <w:lang w:eastAsia="pl-PL"/>
        </w:rPr>
      </w:pPr>
      <w:r w:rsidRPr="00064687">
        <w:rPr>
          <w:rFonts w:ascii="Arial" w:eastAsia="Times New Roman" w:hAnsi="Arial" w:cs="Arial"/>
          <w:color w:val="252525"/>
          <w:lang w:eastAsia="pl-PL"/>
        </w:rPr>
        <w:tab/>
      </w:r>
      <w:r w:rsidRPr="00064687">
        <w:rPr>
          <w:rFonts w:ascii="Arial" w:eastAsia="Times New Roman" w:hAnsi="Arial" w:cs="Arial"/>
          <w:color w:val="252525"/>
          <w:lang w:eastAsia="pl-PL"/>
        </w:rPr>
        <w:tab/>
      </w:r>
      <w:r w:rsidRPr="00064687">
        <w:rPr>
          <w:rFonts w:ascii="Arial" w:eastAsia="Times New Roman" w:hAnsi="Arial" w:cs="Arial"/>
          <w:color w:val="252525"/>
          <w:lang w:eastAsia="pl-PL"/>
        </w:rPr>
        <w:tab/>
      </w:r>
      <w:r w:rsidRPr="00064687">
        <w:rPr>
          <w:rFonts w:ascii="Arial" w:eastAsia="Times New Roman" w:hAnsi="Arial" w:cs="Arial"/>
          <w:color w:val="252525"/>
          <w:lang w:eastAsia="pl-PL"/>
        </w:rPr>
        <w:tab/>
      </w:r>
      <w:r w:rsidRPr="00064687">
        <w:rPr>
          <w:rFonts w:ascii="Arial" w:eastAsia="Times New Roman" w:hAnsi="Arial" w:cs="Arial"/>
          <w:color w:val="252525"/>
          <w:lang w:eastAsia="pl-PL"/>
        </w:rPr>
        <w:tab/>
      </w:r>
      <w:r w:rsidRPr="00064687">
        <w:rPr>
          <w:rFonts w:ascii="Arial" w:eastAsia="Times New Roman" w:hAnsi="Arial" w:cs="Arial"/>
          <w:color w:val="252525"/>
          <w:lang w:eastAsia="pl-PL"/>
        </w:rPr>
        <w:tab/>
      </w:r>
      <w:r w:rsidRPr="00064687">
        <w:rPr>
          <w:rFonts w:ascii="Arial" w:eastAsia="Times New Roman" w:hAnsi="Arial" w:cs="Arial"/>
          <w:color w:val="252525"/>
          <w:lang w:eastAsia="pl-PL"/>
        </w:rPr>
        <w:tab/>
      </w:r>
      <w:r w:rsidRPr="00064687">
        <w:rPr>
          <w:rFonts w:ascii="Arial" w:eastAsia="Times New Roman" w:hAnsi="Arial" w:cs="Arial"/>
          <w:color w:val="252525"/>
          <w:lang w:eastAsia="pl-PL"/>
        </w:rPr>
        <w:tab/>
      </w:r>
      <w:r w:rsidRPr="00064687">
        <w:rPr>
          <w:rFonts w:ascii="Arial" w:eastAsia="Times New Roman" w:hAnsi="Arial" w:cs="Arial"/>
          <w:color w:val="252525"/>
          <w:lang w:eastAsia="pl-PL"/>
        </w:rPr>
        <w:tab/>
        <w:t xml:space="preserve">               </w:t>
      </w:r>
      <w:r w:rsidRPr="00064687">
        <w:rPr>
          <w:rFonts w:ascii="Bodoni MT" w:eastAsia="Times New Roman" w:hAnsi="Bodoni MT" w:cs="Arial"/>
          <w:color w:val="252525"/>
          <w:lang w:eastAsia="pl-PL"/>
        </w:rPr>
        <w:t>Wikipedia</w:t>
      </w:r>
    </w:p>
    <w:p w:rsidR="00674491" w:rsidRDefault="00674491" w:rsidP="008B778F">
      <w:pPr>
        <w:pStyle w:val="Akapitzlist"/>
        <w:ind w:left="284" w:hanging="284"/>
        <w:jc w:val="both"/>
      </w:pPr>
    </w:p>
    <w:p w:rsidR="00CA16FB" w:rsidRDefault="00CA16FB" w:rsidP="008B778F">
      <w:pPr>
        <w:pStyle w:val="Akapitzlist"/>
        <w:ind w:left="284" w:hanging="284"/>
        <w:jc w:val="both"/>
      </w:pPr>
    </w:p>
    <w:p w:rsidR="00674491" w:rsidRPr="00064687" w:rsidRDefault="008B778F" w:rsidP="008B778F">
      <w:pPr>
        <w:pStyle w:val="Akapitzlist"/>
        <w:ind w:left="284" w:hanging="284"/>
        <w:jc w:val="both"/>
        <w:rPr>
          <w:b/>
          <w:sz w:val="28"/>
          <w:szCs w:val="28"/>
        </w:rPr>
      </w:pPr>
      <w:r w:rsidRPr="00064687">
        <w:rPr>
          <w:b/>
          <w:sz w:val="28"/>
          <w:szCs w:val="28"/>
        </w:rPr>
        <w:t xml:space="preserve">1. </w:t>
      </w:r>
      <w:r w:rsidRPr="00064687">
        <w:rPr>
          <w:b/>
          <w:sz w:val="28"/>
          <w:szCs w:val="28"/>
        </w:rPr>
        <w:t xml:space="preserve">TTIP jest kolejnym krokiem w opanowaniu światowego handlu przez międzynarodowe korporacje. </w:t>
      </w:r>
    </w:p>
    <w:p w:rsidR="008B778F" w:rsidRPr="00064687" w:rsidRDefault="00674491" w:rsidP="008B778F">
      <w:pPr>
        <w:pStyle w:val="Akapitzlist"/>
        <w:ind w:left="284" w:hanging="284"/>
        <w:jc w:val="both"/>
        <w:rPr>
          <w:sz w:val="28"/>
          <w:szCs w:val="28"/>
        </w:rPr>
      </w:pPr>
      <w:r w:rsidRPr="00064687">
        <w:rPr>
          <w:sz w:val="28"/>
          <w:szCs w:val="28"/>
        </w:rPr>
        <w:t xml:space="preserve">Poniżej </w:t>
      </w:r>
      <w:r w:rsidR="008B778F" w:rsidRPr="00064687">
        <w:rPr>
          <w:sz w:val="28"/>
          <w:szCs w:val="28"/>
        </w:rPr>
        <w:t>Inne umowy handlowe poniżej (zawarte bądź trwają negocjacje):</w:t>
      </w:r>
    </w:p>
    <w:p w:rsidR="008B778F" w:rsidRPr="00064687" w:rsidRDefault="008B778F" w:rsidP="004C1FD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64687">
        <w:rPr>
          <w:rStyle w:val="Pogrubienie"/>
          <w:sz w:val="28"/>
          <w:szCs w:val="28"/>
        </w:rPr>
        <w:t xml:space="preserve">NAFTA </w:t>
      </w:r>
      <w:r w:rsidRPr="00064687">
        <w:rPr>
          <w:sz w:val="28"/>
          <w:szCs w:val="28"/>
        </w:rPr>
        <w:t>(</w:t>
      </w:r>
      <w:proofErr w:type="spellStart"/>
      <w:r w:rsidRPr="00064687">
        <w:rPr>
          <w:sz w:val="28"/>
          <w:szCs w:val="28"/>
        </w:rPr>
        <w:t>North</w:t>
      </w:r>
      <w:proofErr w:type="spellEnd"/>
      <w:r w:rsidRPr="00064687">
        <w:rPr>
          <w:sz w:val="28"/>
          <w:szCs w:val="28"/>
        </w:rPr>
        <w:t xml:space="preserve"> American </w:t>
      </w:r>
      <w:proofErr w:type="spellStart"/>
      <w:r w:rsidRPr="00064687">
        <w:rPr>
          <w:sz w:val="28"/>
          <w:szCs w:val="28"/>
        </w:rPr>
        <w:t>Free</w:t>
      </w:r>
      <w:proofErr w:type="spellEnd"/>
      <w:r w:rsidRPr="00064687">
        <w:rPr>
          <w:sz w:val="28"/>
          <w:szCs w:val="28"/>
        </w:rPr>
        <w:t xml:space="preserve"> Trade Agreement); umowa pomiędzy </w:t>
      </w:r>
      <w:hyperlink r:id="rId13" w:history="1">
        <w:r w:rsidRPr="00064687">
          <w:rPr>
            <w:rStyle w:val="Hipercze"/>
            <w:color w:val="000000"/>
            <w:sz w:val="28"/>
            <w:szCs w:val="28"/>
          </w:rPr>
          <w:t>USA</w:t>
        </w:r>
      </w:hyperlink>
      <w:r w:rsidRPr="00064687">
        <w:rPr>
          <w:sz w:val="28"/>
          <w:szCs w:val="28"/>
        </w:rPr>
        <w:t>, </w:t>
      </w:r>
      <w:hyperlink r:id="rId14" w:history="1">
        <w:r w:rsidRPr="00064687">
          <w:rPr>
            <w:rStyle w:val="Hipercze"/>
            <w:color w:val="000000"/>
            <w:sz w:val="28"/>
            <w:szCs w:val="28"/>
          </w:rPr>
          <w:t>Kanadą</w:t>
        </w:r>
      </w:hyperlink>
      <w:r w:rsidRPr="00064687">
        <w:rPr>
          <w:sz w:val="28"/>
          <w:szCs w:val="28"/>
        </w:rPr>
        <w:t> i </w:t>
      </w:r>
      <w:hyperlink r:id="rId15" w:history="1">
        <w:r w:rsidRPr="00064687">
          <w:rPr>
            <w:rStyle w:val="Hipercze"/>
            <w:color w:val="000000"/>
            <w:sz w:val="28"/>
            <w:szCs w:val="28"/>
          </w:rPr>
          <w:t>Meksykiem</w:t>
        </w:r>
      </w:hyperlink>
      <w:r w:rsidRPr="00064687">
        <w:rPr>
          <w:sz w:val="28"/>
          <w:szCs w:val="28"/>
        </w:rPr>
        <w:t xml:space="preserve">; weszła w życie 1.01.1994 r. </w:t>
      </w:r>
    </w:p>
    <w:p w:rsidR="008B778F" w:rsidRPr="00064687" w:rsidRDefault="008B778F" w:rsidP="004C1FD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64687">
        <w:rPr>
          <w:rStyle w:val="Pogrubienie"/>
          <w:sz w:val="28"/>
          <w:szCs w:val="28"/>
        </w:rPr>
        <w:t>TPP</w:t>
      </w:r>
      <w:r w:rsidRPr="00064687">
        <w:rPr>
          <w:sz w:val="28"/>
          <w:szCs w:val="28"/>
        </w:rPr>
        <w:t xml:space="preserve"> (Trans-Pacific Partnership </w:t>
      </w:r>
      <w:proofErr w:type="spellStart"/>
      <w:r w:rsidRPr="00064687">
        <w:rPr>
          <w:sz w:val="28"/>
          <w:szCs w:val="28"/>
        </w:rPr>
        <w:t>agreement</w:t>
      </w:r>
      <w:proofErr w:type="spellEnd"/>
      <w:r w:rsidRPr="00064687">
        <w:rPr>
          <w:sz w:val="28"/>
          <w:szCs w:val="28"/>
        </w:rPr>
        <w:t xml:space="preserve">): negocjacje 2005-2015; obejmuje 12 państw (USA, </w:t>
      </w:r>
      <w:proofErr w:type="spellStart"/>
      <w:r w:rsidRPr="00064687">
        <w:rPr>
          <w:sz w:val="28"/>
          <w:szCs w:val="28"/>
        </w:rPr>
        <w:t>Japonia,Kanada</w:t>
      </w:r>
      <w:proofErr w:type="spellEnd"/>
      <w:r w:rsidRPr="00064687">
        <w:rPr>
          <w:sz w:val="28"/>
          <w:szCs w:val="28"/>
        </w:rPr>
        <w:t>, Australia, Nowa Zelandia, Singapur, Malezja, Brunei, Wietnam, Chile, Meksyk, Peru). Tekst ujawniono 5.11.2005 r.</w:t>
      </w:r>
    </w:p>
    <w:p w:rsidR="008B778F" w:rsidRPr="00064687" w:rsidRDefault="008B778F" w:rsidP="004C1FD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64687">
        <w:rPr>
          <w:rStyle w:val="Pogrubienie"/>
          <w:sz w:val="28"/>
          <w:szCs w:val="28"/>
        </w:rPr>
        <w:t xml:space="preserve">RCEP </w:t>
      </w:r>
      <w:r w:rsidRPr="00064687">
        <w:rPr>
          <w:sz w:val="28"/>
          <w:szCs w:val="28"/>
        </w:rPr>
        <w:t>(</w:t>
      </w:r>
      <w:proofErr w:type="spellStart"/>
      <w:r w:rsidRPr="00064687">
        <w:rPr>
          <w:sz w:val="28"/>
          <w:szCs w:val="28"/>
        </w:rPr>
        <w:t>Regional</w:t>
      </w:r>
      <w:proofErr w:type="spellEnd"/>
      <w:r w:rsidRPr="00064687">
        <w:rPr>
          <w:sz w:val="28"/>
          <w:szCs w:val="28"/>
        </w:rPr>
        <w:t xml:space="preserve"> Comprehensive </w:t>
      </w:r>
      <w:proofErr w:type="spellStart"/>
      <w:r w:rsidRPr="00064687">
        <w:rPr>
          <w:sz w:val="28"/>
          <w:szCs w:val="28"/>
        </w:rPr>
        <w:t>Economic</w:t>
      </w:r>
      <w:proofErr w:type="spellEnd"/>
      <w:r w:rsidRPr="00064687">
        <w:rPr>
          <w:sz w:val="28"/>
          <w:szCs w:val="28"/>
        </w:rPr>
        <w:t xml:space="preserve"> Partnership) trwają negocjacje między 10 państwami ASEAN (Stowarzyszenie Narodów Azji Płd. –Wsch.) oraz Chinami, Indiami, Australią Japonią, Koreą Południową i Nową Zelandią. Jest to odpowiedź Chin na TTP.</w:t>
      </w:r>
    </w:p>
    <w:p w:rsidR="008B778F" w:rsidRPr="00064687" w:rsidRDefault="008B778F" w:rsidP="004C1FD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64687">
        <w:rPr>
          <w:rStyle w:val="Pogrubienie"/>
          <w:sz w:val="28"/>
          <w:szCs w:val="28"/>
        </w:rPr>
        <w:t xml:space="preserve">CETA </w:t>
      </w:r>
      <w:r w:rsidRPr="00064687">
        <w:rPr>
          <w:sz w:val="28"/>
          <w:szCs w:val="28"/>
        </w:rPr>
        <w:t xml:space="preserve">(Comprehensive </w:t>
      </w:r>
      <w:proofErr w:type="spellStart"/>
      <w:r w:rsidRPr="00064687">
        <w:rPr>
          <w:sz w:val="28"/>
          <w:szCs w:val="28"/>
        </w:rPr>
        <w:t>Economic</w:t>
      </w:r>
      <w:proofErr w:type="spellEnd"/>
      <w:r w:rsidRPr="00064687">
        <w:rPr>
          <w:sz w:val="28"/>
          <w:szCs w:val="28"/>
        </w:rPr>
        <w:t xml:space="preserve"> and Trade Agreement) między Kanadą  i UE; negocjacje V.2008-VIII.2014 (zakładany po 7 latach wzrost PKB dla UE 0,08%, a dla Kanady 0,77%  - EU-CA </w:t>
      </w:r>
      <w:proofErr w:type="spellStart"/>
      <w:r w:rsidRPr="00064687">
        <w:rPr>
          <w:sz w:val="28"/>
          <w:szCs w:val="28"/>
        </w:rPr>
        <w:t>study</w:t>
      </w:r>
      <w:proofErr w:type="spellEnd"/>
      <w:r w:rsidRPr="00064687">
        <w:rPr>
          <w:sz w:val="28"/>
          <w:szCs w:val="28"/>
        </w:rPr>
        <w:t>, 2007)</w:t>
      </w:r>
    </w:p>
    <w:p w:rsidR="008B778F" w:rsidRDefault="008B778F" w:rsidP="004C1FD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64687">
        <w:rPr>
          <w:rStyle w:val="Pogrubienie"/>
          <w:sz w:val="28"/>
          <w:szCs w:val="28"/>
          <w:lang w:val="en-US"/>
        </w:rPr>
        <w:t>TTIP</w:t>
      </w:r>
      <w:r w:rsidRPr="00064687">
        <w:rPr>
          <w:sz w:val="28"/>
          <w:szCs w:val="28"/>
          <w:lang w:val="en-US"/>
        </w:rPr>
        <w:t xml:space="preserve"> (Transatlantic Trade and Investment Partnership) : </w:t>
      </w:r>
      <w:proofErr w:type="spellStart"/>
      <w:r w:rsidRPr="00064687">
        <w:rPr>
          <w:sz w:val="28"/>
          <w:szCs w:val="28"/>
          <w:lang w:val="en-US"/>
        </w:rPr>
        <w:t>negocjacje</w:t>
      </w:r>
      <w:proofErr w:type="spellEnd"/>
      <w:r w:rsidRPr="00064687">
        <w:rPr>
          <w:sz w:val="28"/>
          <w:szCs w:val="28"/>
          <w:lang w:val="en-US"/>
        </w:rPr>
        <w:t xml:space="preserve"> od VI.2013. </w:t>
      </w:r>
      <w:r w:rsidRPr="00064687">
        <w:rPr>
          <w:sz w:val="28"/>
          <w:szCs w:val="28"/>
        </w:rPr>
        <w:t>Porozumienie to wymaga ujednolicenia norm technicznych oraz usunięcia barier w handlu (ceł, różnic w regulacjach, ograniczeń w zakresie inwestycji itp.</w:t>
      </w:r>
    </w:p>
    <w:p w:rsidR="00CA16FB" w:rsidRPr="00064687" w:rsidRDefault="00CA16FB" w:rsidP="00CA16FB">
      <w:pPr>
        <w:pStyle w:val="Akapitzlist"/>
        <w:ind w:left="720"/>
        <w:jc w:val="both"/>
        <w:rPr>
          <w:sz w:val="28"/>
          <w:szCs w:val="28"/>
        </w:rPr>
      </w:pPr>
    </w:p>
    <w:p w:rsidR="008B778F" w:rsidRPr="00064687" w:rsidRDefault="00F614A9" w:rsidP="008B778F">
      <w:pPr>
        <w:pStyle w:val="Akapitzlist"/>
        <w:ind w:left="284" w:hanging="284"/>
        <w:jc w:val="both"/>
        <w:rPr>
          <w:b/>
          <w:sz w:val="28"/>
          <w:szCs w:val="28"/>
        </w:rPr>
      </w:pPr>
      <w:r w:rsidRPr="00064687">
        <w:rPr>
          <w:b/>
          <w:sz w:val="28"/>
          <w:szCs w:val="28"/>
        </w:rPr>
        <w:lastRenderedPageBreak/>
        <w:t xml:space="preserve">2. </w:t>
      </w:r>
      <w:r w:rsidR="008B778F" w:rsidRPr="00064687">
        <w:rPr>
          <w:b/>
          <w:sz w:val="28"/>
          <w:szCs w:val="28"/>
        </w:rPr>
        <w:t>Głównym argumentem zwolenników tych umów są  wzajemne korzyści stron umów</w:t>
      </w:r>
      <w:r w:rsidR="00674491" w:rsidRPr="00064687">
        <w:rPr>
          <w:b/>
          <w:sz w:val="28"/>
          <w:szCs w:val="28"/>
        </w:rPr>
        <w:t>,</w:t>
      </w:r>
      <w:r w:rsidR="008B778F" w:rsidRPr="00064687">
        <w:rPr>
          <w:b/>
          <w:sz w:val="28"/>
          <w:szCs w:val="28"/>
        </w:rPr>
        <w:t xml:space="preserve"> w tym ekonomiczne i społeczne (nowe miejsca pracy, niższe ceny) - Ale nawet oficjalne prognozy wskazują na czterokrotnie większe korzyści USA! - opcja „nowy styl”, </w:t>
      </w:r>
      <w:r w:rsidR="008B778F" w:rsidRPr="00064687">
        <w:rPr>
          <w:rStyle w:val="Uwydatnienie"/>
          <w:b/>
          <w:sz w:val="28"/>
          <w:szCs w:val="28"/>
        </w:rPr>
        <w:t xml:space="preserve">US </w:t>
      </w:r>
      <w:proofErr w:type="spellStart"/>
      <w:r w:rsidR="008B778F" w:rsidRPr="00064687">
        <w:rPr>
          <w:rStyle w:val="Uwydatnienie"/>
          <w:b/>
          <w:sz w:val="28"/>
          <w:szCs w:val="28"/>
        </w:rPr>
        <w:t>Department</w:t>
      </w:r>
      <w:proofErr w:type="spellEnd"/>
      <w:r w:rsidR="008B778F" w:rsidRPr="00064687">
        <w:rPr>
          <w:rStyle w:val="Uwydatnienie"/>
          <w:b/>
          <w:sz w:val="28"/>
          <w:szCs w:val="28"/>
        </w:rPr>
        <w:t xml:space="preserve"> of </w:t>
      </w:r>
      <w:proofErr w:type="spellStart"/>
      <w:r w:rsidR="008B778F" w:rsidRPr="00064687">
        <w:rPr>
          <w:rStyle w:val="Uwydatnienie"/>
          <w:b/>
          <w:sz w:val="28"/>
          <w:szCs w:val="28"/>
        </w:rPr>
        <w:t>Agriculture</w:t>
      </w:r>
      <w:proofErr w:type="spellEnd"/>
      <w:r w:rsidR="008B778F" w:rsidRPr="00064687">
        <w:rPr>
          <w:rStyle w:val="Uwydatnienie"/>
          <w:b/>
          <w:sz w:val="28"/>
          <w:szCs w:val="28"/>
        </w:rPr>
        <w:t xml:space="preserve"> </w:t>
      </w:r>
      <w:proofErr w:type="spellStart"/>
      <w:r w:rsidR="008B778F" w:rsidRPr="00064687">
        <w:rPr>
          <w:rStyle w:val="Uwydatnienie"/>
          <w:b/>
          <w:sz w:val="28"/>
          <w:szCs w:val="28"/>
        </w:rPr>
        <w:t>Study</w:t>
      </w:r>
      <w:proofErr w:type="spellEnd"/>
      <w:r w:rsidR="008B778F" w:rsidRPr="00064687">
        <w:rPr>
          <w:rStyle w:val="Uwydatnienie"/>
          <w:b/>
          <w:sz w:val="28"/>
          <w:szCs w:val="28"/>
        </w:rPr>
        <w:t xml:space="preserve"> (</w:t>
      </w:r>
      <w:proofErr w:type="spellStart"/>
      <w:r w:rsidR="008B778F" w:rsidRPr="00064687">
        <w:rPr>
          <w:rStyle w:val="Uwydatnienie"/>
          <w:b/>
          <w:sz w:val="28"/>
          <w:szCs w:val="28"/>
        </w:rPr>
        <w:t>November</w:t>
      </w:r>
      <w:proofErr w:type="spellEnd"/>
      <w:r w:rsidR="008B778F" w:rsidRPr="00064687">
        <w:rPr>
          <w:rStyle w:val="Uwydatnienie"/>
          <w:b/>
          <w:sz w:val="28"/>
          <w:szCs w:val="28"/>
        </w:rPr>
        <w:t xml:space="preserve"> 2015</w:t>
      </w:r>
      <w:r w:rsidR="008B778F" w:rsidRPr="00064687">
        <w:rPr>
          <w:b/>
          <w:sz w:val="28"/>
          <w:szCs w:val="28"/>
        </w:rPr>
        <w:t>):</w:t>
      </w:r>
    </w:p>
    <w:p w:rsidR="008B778F" w:rsidRPr="00064687" w:rsidRDefault="008B778F" w:rsidP="008B778F">
      <w:pPr>
        <w:pStyle w:val="Akapitzlist"/>
        <w:ind w:left="284"/>
        <w:jc w:val="both"/>
        <w:rPr>
          <w:sz w:val="28"/>
          <w:szCs w:val="28"/>
        </w:rPr>
      </w:pPr>
      <w:r w:rsidRPr="00064687">
        <w:rPr>
          <w:sz w:val="28"/>
          <w:szCs w:val="28"/>
        </w:rPr>
        <w:t> </w:t>
      </w:r>
    </w:p>
    <w:p w:rsidR="008B778F" w:rsidRPr="00064687" w:rsidRDefault="008B778F" w:rsidP="004C1FD9">
      <w:pPr>
        <w:pStyle w:val="Akapitzlist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064687">
        <w:rPr>
          <w:sz w:val="28"/>
          <w:szCs w:val="28"/>
          <w:lang w:val="en-US"/>
        </w:rPr>
        <w:t xml:space="preserve">export USA do UE   </w:t>
      </w:r>
      <w:r w:rsidRPr="00064687">
        <w:rPr>
          <w:rStyle w:val="Pogrubienie"/>
          <w:sz w:val="28"/>
          <w:szCs w:val="28"/>
          <w:lang w:val="en-US"/>
        </w:rPr>
        <w:t xml:space="preserve">+9,6 </w:t>
      </w:r>
      <w:proofErr w:type="spellStart"/>
      <w:r w:rsidRPr="00064687">
        <w:rPr>
          <w:rStyle w:val="Pogrubienie"/>
          <w:sz w:val="28"/>
          <w:szCs w:val="28"/>
          <w:lang w:val="en-US"/>
        </w:rPr>
        <w:t>mld</w:t>
      </w:r>
      <w:proofErr w:type="spellEnd"/>
      <w:r w:rsidRPr="00064687">
        <w:rPr>
          <w:rStyle w:val="Pogrubienie"/>
          <w:sz w:val="28"/>
          <w:szCs w:val="28"/>
          <w:lang w:val="en-US"/>
        </w:rPr>
        <w:t xml:space="preserve"> USD</w:t>
      </w:r>
    </w:p>
    <w:p w:rsidR="008B778F" w:rsidRPr="00064687" w:rsidRDefault="008B778F" w:rsidP="004C1FD9">
      <w:pPr>
        <w:pStyle w:val="Akapitzlist"/>
        <w:numPr>
          <w:ilvl w:val="0"/>
          <w:numId w:val="2"/>
        </w:numPr>
        <w:jc w:val="both"/>
        <w:rPr>
          <w:sz w:val="28"/>
          <w:szCs w:val="28"/>
          <w:lang w:val="fr-FR"/>
        </w:rPr>
      </w:pPr>
      <w:r w:rsidRPr="00064687">
        <w:rPr>
          <w:sz w:val="28"/>
          <w:szCs w:val="28"/>
          <w:lang w:val="fr-FR"/>
        </w:rPr>
        <w:t>e</w:t>
      </w:r>
      <w:r w:rsidR="00674491" w:rsidRPr="00064687">
        <w:rPr>
          <w:sz w:val="28"/>
          <w:szCs w:val="28"/>
          <w:lang w:val="fr-FR"/>
        </w:rPr>
        <w:t>x</w:t>
      </w:r>
      <w:r w:rsidRPr="00064687">
        <w:rPr>
          <w:sz w:val="28"/>
          <w:szCs w:val="28"/>
          <w:lang w:val="fr-FR"/>
        </w:rPr>
        <w:t>port EU do USA +2,0 mld USD</w:t>
      </w:r>
    </w:p>
    <w:p w:rsidR="008B778F" w:rsidRPr="00064687" w:rsidRDefault="008B778F" w:rsidP="008B778F">
      <w:pPr>
        <w:pStyle w:val="Akapitzlist"/>
        <w:ind w:left="284" w:hanging="284"/>
        <w:jc w:val="both"/>
        <w:rPr>
          <w:sz w:val="28"/>
          <w:szCs w:val="28"/>
          <w:lang w:val="fr-FR"/>
        </w:rPr>
      </w:pPr>
      <w:r w:rsidRPr="00064687">
        <w:rPr>
          <w:sz w:val="28"/>
          <w:szCs w:val="28"/>
          <w:lang w:val="fr-FR"/>
        </w:rPr>
        <w:t> </w:t>
      </w:r>
    </w:p>
    <w:p w:rsidR="008B778F" w:rsidRPr="00064687" w:rsidRDefault="002C2C14" w:rsidP="008B778F">
      <w:pPr>
        <w:pStyle w:val="pa0"/>
        <w:ind w:left="284" w:hanging="284"/>
        <w:jc w:val="both"/>
        <w:rPr>
          <w:b/>
          <w:sz w:val="28"/>
          <w:szCs w:val="28"/>
        </w:rPr>
      </w:pPr>
      <w:r w:rsidRPr="00064687">
        <w:rPr>
          <w:b/>
          <w:sz w:val="28"/>
          <w:szCs w:val="28"/>
        </w:rPr>
        <w:t xml:space="preserve">3. </w:t>
      </w:r>
      <w:r w:rsidR="008B778F" w:rsidRPr="00064687">
        <w:rPr>
          <w:b/>
          <w:sz w:val="28"/>
          <w:szCs w:val="28"/>
        </w:rPr>
        <w:t xml:space="preserve">Wnioski </w:t>
      </w:r>
      <w:r w:rsidRPr="00064687">
        <w:rPr>
          <w:b/>
          <w:sz w:val="28"/>
          <w:szCs w:val="28"/>
        </w:rPr>
        <w:t xml:space="preserve"> </w:t>
      </w:r>
      <w:r w:rsidR="008B778F" w:rsidRPr="00064687">
        <w:rPr>
          <w:b/>
          <w:sz w:val="28"/>
          <w:szCs w:val="28"/>
        </w:rPr>
        <w:t xml:space="preserve">z </w:t>
      </w:r>
      <w:r w:rsidRPr="00064687">
        <w:rPr>
          <w:b/>
          <w:sz w:val="28"/>
          <w:szCs w:val="28"/>
        </w:rPr>
        <w:t xml:space="preserve"> </w:t>
      </w:r>
      <w:r w:rsidR="008B778F" w:rsidRPr="00064687">
        <w:rPr>
          <w:b/>
          <w:sz w:val="28"/>
          <w:szCs w:val="28"/>
        </w:rPr>
        <w:t xml:space="preserve">innych umów. Poważną </w:t>
      </w:r>
      <w:r w:rsidRPr="00064687">
        <w:rPr>
          <w:b/>
          <w:sz w:val="28"/>
          <w:szCs w:val="28"/>
        </w:rPr>
        <w:t xml:space="preserve"> </w:t>
      </w:r>
      <w:r w:rsidR="008B778F" w:rsidRPr="00064687">
        <w:rPr>
          <w:b/>
          <w:sz w:val="28"/>
          <w:szCs w:val="28"/>
        </w:rPr>
        <w:t xml:space="preserve">przestrogą </w:t>
      </w:r>
      <w:r w:rsidRPr="00064687">
        <w:rPr>
          <w:b/>
          <w:sz w:val="28"/>
          <w:szCs w:val="28"/>
        </w:rPr>
        <w:t xml:space="preserve"> </w:t>
      </w:r>
      <w:r w:rsidR="008B778F" w:rsidRPr="00064687">
        <w:rPr>
          <w:b/>
          <w:sz w:val="28"/>
          <w:szCs w:val="28"/>
        </w:rPr>
        <w:t xml:space="preserve">mogą być </w:t>
      </w:r>
      <w:r w:rsidRPr="00064687">
        <w:rPr>
          <w:b/>
          <w:sz w:val="28"/>
          <w:szCs w:val="28"/>
        </w:rPr>
        <w:t xml:space="preserve"> </w:t>
      </w:r>
      <w:r w:rsidR="008B778F" w:rsidRPr="00064687">
        <w:rPr>
          <w:b/>
          <w:sz w:val="28"/>
          <w:szCs w:val="28"/>
        </w:rPr>
        <w:t xml:space="preserve">„korzyści” Meksyku z umowy NAFTA - </w:t>
      </w:r>
      <w:r w:rsidR="008B778F" w:rsidRPr="00064687">
        <w:rPr>
          <w:rStyle w:val="Uwydatnienie"/>
          <w:b/>
          <w:sz w:val="28"/>
          <w:szCs w:val="28"/>
        </w:rPr>
        <w:t xml:space="preserve">US </w:t>
      </w:r>
      <w:proofErr w:type="spellStart"/>
      <w:r w:rsidR="008B778F" w:rsidRPr="00064687">
        <w:rPr>
          <w:rStyle w:val="Uwydatnienie"/>
          <w:b/>
          <w:sz w:val="28"/>
          <w:szCs w:val="28"/>
        </w:rPr>
        <w:t>Department</w:t>
      </w:r>
      <w:proofErr w:type="spellEnd"/>
      <w:r w:rsidR="008B778F" w:rsidRPr="00064687">
        <w:rPr>
          <w:rStyle w:val="Uwydatnienie"/>
          <w:b/>
          <w:sz w:val="28"/>
          <w:szCs w:val="28"/>
        </w:rPr>
        <w:t xml:space="preserve"> of </w:t>
      </w:r>
      <w:proofErr w:type="spellStart"/>
      <w:r w:rsidR="008B778F" w:rsidRPr="00064687">
        <w:rPr>
          <w:rStyle w:val="Uwydatnienie"/>
          <w:b/>
          <w:sz w:val="28"/>
          <w:szCs w:val="28"/>
        </w:rPr>
        <w:t>Agriculture</w:t>
      </w:r>
      <w:proofErr w:type="spellEnd"/>
      <w:r w:rsidR="008B778F" w:rsidRPr="00064687">
        <w:rPr>
          <w:rStyle w:val="Uwydatnienie"/>
          <w:b/>
          <w:sz w:val="28"/>
          <w:szCs w:val="28"/>
        </w:rPr>
        <w:t xml:space="preserve"> </w:t>
      </w:r>
      <w:proofErr w:type="spellStart"/>
      <w:r w:rsidR="008B778F" w:rsidRPr="00064687">
        <w:rPr>
          <w:rStyle w:val="Uwydatnienie"/>
          <w:b/>
          <w:sz w:val="28"/>
          <w:szCs w:val="28"/>
        </w:rPr>
        <w:t>Study</w:t>
      </w:r>
      <w:proofErr w:type="spellEnd"/>
      <w:r w:rsidR="008B778F" w:rsidRPr="00064687">
        <w:rPr>
          <w:rStyle w:val="Uwydatnienie"/>
          <w:b/>
          <w:sz w:val="28"/>
          <w:szCs w:val="28"/>
        </w:rPr>
        <w:t xml:space="preserve"> (</w:t>
      </w:r>
      <w:proofErr w:type="spellStart"/>
      <w:r w:rsidR="008B778F" w:rsidRPr="00064687">
        <w:rPr>
          <w:rStyle w:val="Uwydatnienie"/>
          <w:b/>
          <w:sz w:val="28"/>
          <w:szCs w:val="28"/>
        </w:rPr>
        <w:t>November</w:t>
      </w:r>
      <w:proofErr w:type="spellEnd"/>
      <w:r w:rsidR="008B778F" w:rsidRPr="00064687">
        <w:rPr>
          <w:rStyle w:val="Uwydatnienie"/>
          <w:b/>
          <w:sz w:val="28"/>
          <w:szCs w:val="28"/>
        </w:rPr>
        <w:t xml:space="preserve"> 2015</w:t>
      </w:r>
      <w:r w:rsidR="008B778F" w:rsidRPr="00064687">
        <w:rPr>
          <w:b/>
          <w:sz w:val="28"/>
          <w:szCs w:val="28"/>
        </w:rPr>
        <w:t xml:space="preserve">): </w:t>
      </w:r>
    </w:p>
    <w:p w:rsidR="008B778F" w:rsidRPr="00064687" w:rsidRDefault="008B778F" w:rsidP="004C1FD9">
      <w:pPr>
        <w:pStyle w:val="pa0"/>
        <w:numPr>
          <w:ilvl w:val="0"/>
          <w:numId w:val="3"/>
        </w:numPr>
        <w:jc w:val="both"/>
        <w:rPr>
          <w:sz w:val="28"/>
          <w:szCs w:val="28"/>
        </w:rPr>
      </w:pPr>
      <w:r w:rsidRPr="00064687">
        <w:rPr>
          <w:sz w:val="28"/>
          <w:szCs w:val="28"/>
        </w:rPr>
        <w:t>destabilizacja gospodarki, destabilizacja lokalnej wytwórczości, rabunkowa eksploatacja surowców (srebro, ropa, gaz), wzrost nierówności społecznych, 1.5 mln rolników zbankrutowało, degradacja dużych obszarów wiejskich</w:t>
      </w:r>
    </w:p>
    <w:p w:rsidR="008B778F" w:rsidRPr="00064687" w:rsidRDefault="008B778F" w:rsidP="004C1FD9">
      <w:pPr>
        <w:pStyle w:val="pa0"/>
        <w:numPr>
          <w:ilvl w:val="0"/>
          <w:numId w:val="3"/>
        </w:numPr>
        <w:jc w:val="both"/>
        <w:rPr>
          <w:sz w:val="28"/>
          <w:szCs w:val="28"/>
        </w:rPr>
      </w:pPr>
      <w:r w:rsidRPr="00064687">
        <w:rPr>
          <w:sz w:val="28"/>
          <w:szCs w:val="28"/>
        </w:rPr>
        <w:t>Meksyk z kraju produkującego kukurydzę na eksport stał się krajem, który z importu pokrywa połowę zapotrzebowania na tą roślinę</w:t>
      </w:r>
    </w:p>
    <w:p w:rsidR="008B778F" w:rsidRPr="00064687" w:rsidRDefault="008B778F" w:rsidP="004C1FD9">
      <w:pPr>
        <w:pStyle w:val="pa0"/>
        <w:numPr>
          <w:ilvl w:val="0"/>
          <w:numId w:val="3"/>
        </w:numPr>
        <w:jc w:val="both"/>
        <w:rPr>
          <w:sz w:val="28"/>
          <w:szCs w:val="28"/>
        </w:rPr>
      </w:pPr>
      <w:r w:rsidRPr="00064687">
        <w:rPr>
          <w:sz w:val="28"/>
          <w:szCs w:val="28"/>
        </w:rPr>
        <w:t xml:space="preserve">Meksykańscy konsumenci płacą obecnie wyższe ceny za kukurydzę GMO firmy </w:t>
      </w:r>
      <w:proofErr w:type="spellStart"/>
      <w:r w:rsidRPr="00064687">
        <w:rPr>
          <w:sz w:val="28"/>
          <w:szCs w:val="28"/>
        </w:rPr>
        <w:t>Monsanto</w:t>
      </w:r>
      <w:proofErr w:type="spellEnd"/>
      <w:r w:rsidRPr="00064687">
        <w:rPr>
          <w:sz w:val="28"/>
          <w:szCs w:val="28"/>
        </w:rPr>
        <w:t xml:space="preserve"> (</w:t>
      </w:r>
      <w:r w:rsidRPr="00064687">
        <w:rPr>
          <w:rStyle w:val="Uwydatnienie"/>
          <w:sz w:val="28"/>
          <w:szCs w:val="28"/>
        </w:rPr>
        <w:t xml:space="preserve">Barbara </w:t>
      </w:r>
      <w:proofErr w:type="spellStart"/>
      <w:r w:rsidRPr="00064687">
        <w:rPr>
          <w:rStyle w:val="Uwydatnienie"/>
          <w:sz w:val="28"/>
          <w:szCs w:val="28"/>
        </w:rPr>
        <w:t>Chicherio</w:t>
      </w:r>
      <w:proofErr w:type="spellEnd"/>
      <w:r w:rsidRPr="00064687">
        <w:rPr>
          <w:sz w:val="28"/>
          <w:szCs w:val="28"/>
        </w:rPr>
        <w:t>)</w:t>
      </w:r>
    </w:p>
    <w:p w:rsidR="008B778F" w:rsidRPr="00064687" w:rsidRDefault="008B778F" w:rsidP="008B778F">
      <w:pPr>
        <w:pStyle w:val="pa0"/>
        <w:jc w:val="both"/>
        <w:rPr>
          <w:sz w:val="28"/>
          <w:szCs w:val="28"/>
        </w:rPr>
      </w:pPr>
      <w:r w:rsidRPr="00064687">
        <w:rPr>
          <w:sz w:val="28"/>
          <w:szCs w:val="28"/>
        </w:rPr>
        <w:t> </w:t>
      </w:r>
    </w:p>
    <w:p w:rsidR="008B778F" w:rsidRPr="00064687" w:rsidRDefault="00F614A9" w:rsidP="008B778F">
      <w:pPr>
        <w:pStyle w:val="pa0"/>
        <w:ind w:left="284" w:hanging="284"/>
        <w:jc w:val="both"/>
        <w:rPr>
          <w:b/>
          <w:sz w:val="28"/>
          <w:szCs w:val="28"/>
        </w:rPr>
      </w:pPr>
      <w:r w:rsidRPr="00064687">
        <w:rPr>
          <w:b/>
          <w:sz w:val="28"/>
          <w:szCs w:val="28"/>
        </w:rPr>
        <w:t xml:space="preserve">4. </w:t>
      </w:r>
      <w:r w:rsidR="008B778F" w:rsidRPr="00064687">
        <w:rPr>
          <w:b/>
          <w:sz w:val="28"/>
          <w:szCs w:val="28"/>
        </w:rPr>
        <w:t xml:space="preserve">Niezależne badania wskazują na </w:t>
      </w:r>
      <w:r w:rsidR="008B778F" w:rsidRPr="00064687">
        <w:rPr>
          <w:rStyle w:val="Pogrubienie"/>
          <w:b w:val="0"/>
          <w:sz w:val="28"/>
          <w:szCs w:val="28"/>
        </w:rPr>
        <w:t>znikome korzyści państw UE, ich brak oraz na zagrożenia umowy TTIP</w:t>
      </w:r>
      <w:r w:rsidR="008B778F" w:rsidRPr="00064687">
        <w:rPr>
          <w:b/>
          <w:sz w:val="28"/>
          <w:szCs w:val="28"/>
        </w:rPr>
        <w:t xml:space="preserve"> (m.in. </w:t>
      </w:r>
      <w:r w:rsidR="008B778F" w:rsidRPr="00064687">
        <w:rPr>
          <w:rStyle w:val="Uwydatnienie"/>
          <w:b/>
          <w:sz w:val="28"/>
          <w:szCs w:val="28"/>
        </w:rPr>
        <w:t xml:space="preserve">CEPR </w:t>
      </w:r>
      <w:proofErr w:type="spellStart"/>
      <w:r w:rsidR="008B778F" w:rsidRPr="00064687">
        <w:rPr>
          <w:rStyle w:val="Uwydatnienie"/>
          <w:b/>
          <w:sz w:val="28"/>
          <w:szCs w:val="28"/>
        </w:rPr>
        <w:t>study</w:t>
      </w:r>
      <w:proofErr w:type="spellEnd"/>
      <w:r w:rsidR="008B778F" w:rsidRPr="00064687">
        <w:rPr>
          <w:b/>
          <w:sz w:val="28"/>
          <w:szCs w:val="28"/>
        </w:rPr>
        <w:t xml:space="preserve">). </w:t>
      </w:r>
    </w:p>
    <w:p w:rsidR="008B778F" w:rsidRPr="00064687" w:rsidRDefault="008B778F" w:rsidP="004C1FD9">
      <w:pPr>
        <w:pStyle w:val="pa0"/>
        <w:numPr>
          <w:ilvl w:val="0"/>
          <w:numId w:val="4"/>
        </w:numPr>
        <w:jc w:val="both"/>
        <w:rPr>
          <w:sz w:val="28"/>
          <w:szCs w:val="28"/>
        </w:rPr>
      </w:pPr>
      <w:r w:rsidRPr="00064687">
        <w:rPr>
          <w:sz w:val="28"/>
          <w:szCs w:val="28"/>
        </w:rPr>
        <w:t xml:space="preserve">Dodatkowy wzrost roczny PB jest szacowany na 0,05% w UE czyli blisko zeru przy jednoczesnym braku oszacowania kosztów społecznych i </w:t>
      </w:r>
      <w:proofErr w:type="spellStart"/>
      <w:r w:rsidRPr="00064687">
        <w:rPr>
          <w:sz w:val="28"/>
          <w:szCs w:val="28"/>
        </w:rPr>
        <w:t>ryzyk</w:t>
      </w:r>
      <w:proofErr w:type="spellEnd"/>
      <w:r w:rsidRPr="00064687">
        <w:rPr>
          <w:sz w:val="28"/>
          <w:szCs w:val="28"/>
        </w:rPr>
        <w:t xml:space="preserve"> </w:t>
      </w:r>
    </w:p>
    <w:p w:rsidR="008B778F" w:rsidRPr="00064687" w:rsidRDefault="008B778F" w:rsidP="004C1FD9">
      <w:pPr>
        <w:pStyle w:val="pa0"/>
        <w:numPr>
          <w:ilvl w:val="0"/>
          <w:numId w:val="4"/>
        </w:numPr>
        <w:jc w:val="both"/>
        <w:rPr>
          <w:sz w:val="28"/>
          <w:szCs w:val="28"/>
        </w:rPr>
      </w:pPr>
      <w:r w:rsidRPr="00064687">
        <w:rPr>
          <w:sz w:val="28"/>
          <w:szCs w:val="28"/>
        </w:rPr>
        <w:t>Stosowany model CGE (</w:t>
      </w:r>
      <w:proofErr w:type="spellStart"/>
      <w:r w:rsidRPr="00064687">
        <w:rPr>
          <w:sz w:val="28"/>
          <w:szCs w:val="28"/>
        </w:rPr>
        <w:t>Computable</w:t>
      </w:r>
      <w:proofErr w:type="spellEnd"/>
      <w:r w:rsidRPr="00064687">
        <w:rPr>
          <w:sz w:val="28"/>
          <w:szCs w:val="28"/>
        </w:rPr>
        <w:t xml:space="preserve"> General </w:t>
      </w:r>
      <w:proofErr w:type="spellStart"/>
      <w:r w:rsidRPr="00064687">
        <w:rPr>
          <w:sz w:val="28"/>
          <w:szCs w:val="28"/>
        </w:rPr>
        <w:t>Equilibrum</w:t>
      </w:r>
      <w:proofErr w:type="spellEnd"/>
      <w:r w:rsidRPr="00064687">
        <w:rPr>
          <w:sz w:val="28"/>
          <w:szCs w:val="28"/>
        </w:rPr>
        <w:t>) okazał się nietrafny w przypadku NAFTA (utrata &gt; 900 tys. miejsc pracy w USA, zamknięcie &gt; 300 tys. firm rodzinnych w Meksyku). Prawdopodobnie zbliżony model jest stosowany jest stosowany w przypadku umowy TTIP, co obniża wiarygodność udostępnianych prognoz</w:t>
      </w:r>
    </w:p>
    <w:p w:rsidR="008B778F" w:rsidRPr="00064687" w:rsidRDefault="008B778F" w:rsidP="004C1FD9">
      <w:pPr>
        <w:pStyle w:val="pa0"/>
        <w:numPr>
          <w:ilvl w:val="0"/>
          <w:numId w:val="4"/>
        </w:numPr>
        <w:jc w:val="both"/>
        <w:rPr>
          <w:sz w:val="28"/>
          <w:szCs w:val="28"/>
        </w:rPr>
      </w:pPr>
      <w:r w:rsidRPr="00064687">
        <w:rPr>
          <w:sz w:val="28"/>
          <w:szCs w:val="28"/>
        </w:rPr>
        <w:t xml:space="preserve">W UE jest 1300 substancji zakazanych przy produkcji kosmetyków, w USA tylko 11. Nie wiemy ile kosmetyków amerykańskich po zakończeniu negocjacji znajdzie się na unijnym rynku </w:t>
      </w:r>
    </w:p>
    <w:p w:rsidR="008B778F" w:rsidRPr="00064687" w:rsidRDefault="008B778F" w:rsidP="004C1FD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064687">
        <w:rPr>
          <w:sz w:val="28"/>
          <w:szCs w:val="28"/>
        </w:rPr>
        <w:t>Inne są też wymogi informacyjne na etykietach (np. w UE obowiązkowa informacja o  GMO, w USA jej brak, co uniemożliwia konsumentowi prawo wyboru)</w:t>
      </w:r>
    </w:p>
    <w:p w:rsidR="008B778F" w:rsidRPr="00064687" w:rsidRDefault="008B778F" w:rsidP="004C1FD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064687">
        <w:rPr>
          <w:sz w:val="28"/>
          <w:szCs w:val="28"/>
        </w:rPr>
        <w:t>W UE konieczne jest udowodnienie, że wprowadzane środki są bezpieczne; w USA, że szkodzą</w:t>
      </w:r>
    </w:p>
    <w:p w:rsidR="008B778F" w:rsidRPr="00064687" w:rsidRDefault="008B778F" w:rsidP="004C1FD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064687">
        <w:rPr>
          <w:sz w:val="28"/>
          <w:szCs w:val="28"/>
        </w:rPr>
        <w:t>Tylko 20% przewidywanych korzyści pochodzi z usunięcia ceł (średnio obecnie  wynoszą one 3,5%)</w:t>
      </w:r>
    </w:p>
    <w:p w:rsidR="008B778F" w:rsidRPr="00064687" w:rsidRDefault="008B778F" w:rsidP="004C1FD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064687">
        <w:rPr>
          <w:sz w:val="28"/>
          <w:szCs w:val="28"/>
        </w:rPr>
        <w:t xml:space="preserve">Natomiast 80% korzyści przypada </w:t>
      </w:r>
      <w:r w:rsidRPr="00064687">
        <w:rPr>
          <w:rStyle w:val="Pogrubienie"/>
          <w:sz w:val="28"/>
          <w:szCs w:val="28"/>
        </w:rPr>
        <w:t>na usunięcie barier pozataryfowych</w:t>
      </w:r>
      <w:r w:rsidRPr="00064687">
        <w:rPr>
          <w:sz w:val="28"/>
          <w:szCs w:val="28"/>
        </w:rPr>
        <w:t xml:space="preserve"> czyli tych dotyczących zdrowia, jakości i bezpieczeństwa żywności (np. zakaz importu z USA mięsa zawierającego hormony wzrostu bydła BST, czy obmywanie kurcząt wodą z dodatkiem chloru), środowiska, spraw pracowniczych, normy technicznych, usług, prawa krajowego, finansów. USA dążą do usunięcia tych zakazów i regulacji, co stanowi dla mieszkańców olbrzymie zagrożenie! Symptomatycznym przykładem tego, która ze stron jest silniejsza w negocjacjach jest informacja o tym, że „UE pod naciskiem lobby USA wstrzymała w maju 2015 r. prace nad zakazem używania groźnych pestycydów: 31 środków </w:t>
      </w:r>
      <w:r w:rsidRPr="00064687">
        <w:rPr>
          <w:rStyle w:val="Pogrubienie"/>
          <w:sz w:val="28"/>
          <w:szCs w:val="28"/>
        </w:rPr>
        <w:t>EDC</w:t>
      </w:r>
      <w:r w:rsidRPr="00064687">
        <w:rPr>
          <w:sz w:val="28"/>
          <w:szCs w:val="28"/>
        </w:rPr>
        <w:t> (</w:t>
      </w:r>
      <w:proofErr w:type="spellStart"/>
      <w:r w:rsidRPr="00064687">
        <w:rPr>
          <w:sz w:val="28"/>
          <w:szCs w:val="28"/>
        </w:rPr>
        <w:t>endocrine</w:t>
      </w:r>
      <w:proofErr w:type="spellEnd"/>
      <w:r w:rsidRPr="00064687">
        <w:rPr>
          <w:sz w:val="28"/>
          <w:szCs w:val="28"/>
        </w:rPr>
        <w:t xml:space="preserve"> </w:t>
      </w:r>
      <w:proofErr w:type="spellStart"/>
      <w:r w:rsidRPr="00064687">
        <w:rPr>
          <w:sz w:val="28"/>
          <w:szCs w:val="28"/>
        </w:rPr>
        <w:t>disrupting</w:t>
      </w:r>
      <w:proofErr w:type="spellEnd"/>
      <w:r w:rsidRPr="00064687">
        <w:rPr>
          <w:sz w:val="28"/>
          <w:szCs w:val="28"/>
        </w:rPr>
        <w:t xml:space="preserve"> chemicals) </w:t>
      </w:r>
      <w:r w:rsidRPr="00064687">
        <w:rPr>
          <w:rStyle w:val="Pogrubienie"/>
          <w:sz w:val="28"/>
          <w:szCs w:val="28"/>
        </w:rPr>
        <w:t xml:space="preserve">środków chemicznych zakłócających działanie </w:t>
      </w:r>
      <w:proofErr w:type="spellStart"/>
      <w:r w:rsidRPr="00064687">
        <w:rPr>
          <w:rStyle w:val="Pogrubienie"/>
          <w:sz w:val="28"/>
          <w:szCs w:val="28"/>
        </w:rPr>
        <w:t>endokrynne</w:t>
      </w:r>
      <w:proofErr w:type="spellEnd"/>
      <w:r w:rsidRPr="00064687">
        <w:rPr>
          <w:sz w:val="28"/>
          <w:szCs w:val="28"/>
        </w:rPr>
        <w:t xml:space="preserve">; mogą </w:t>
      </w:r>
      <w:proofErr w:type="spellStart"/>
      <w:r w:rsidRPr="00064687">
        <w:rPr>
          <w:sz w:val="28"/>
          <w:szCs w:val="28"/>
        </w:rPr>
        <w:t>wyoływać</w:t>
      </w:r>
      <w:proofErr w:type="spellEnd"/>
      <w:r w:rsidRPr="00064687">
        <w:rPr>
          <w:sz w:val="28"/>
          <w:szCs w:val="28"/>
        </w:rPr>
        <w:t>  raka lub bezpłodność u mężczyzn”</w:t>
      </w:r>
    </w:p>
    <w:p w:rsidR="008B778F" w:rsidRPr="00064687" w:rsidRDefault="008B778F" w:rsidP="008B778F">
      <w:pPr>
        <w:pStyle w:val="Akapitzlist"/>
        <w:ind w:left="284"/>
        <w:jc w:val="both"/>
        <w:rPr>
          <w:sz w:val="28"/>
          <w:szCs w:val="28"/>
        </w:rPr>
      </w:pPr>
      <w:r w:rsidRPr="00064687">
        <w:rPr>
          <w:sz w:val="28"/>
          <w:szCs w:val="28"/>
        </w:rPr>
        <w:t> </w:t>
      </w:r>
    </w:p>
    <w:p w:rsidR="008B778F" w:rsidRPr="00064687" w:rsidRDefault="008B778F" w:rsidP="008B778F">
      <w:pPr>
        <w:pStyle w:val="Akapitzlist"/>
        <w:ind w:left="284" w:hanging="284"/>
        <w:jc w:val="both"/>
        <w:rPr>
          <w:sz w:val="28"/>
          <w:szCs w:val="28"/>
        </w:rPr>
      </w:pPr>
      <w:r w:rsidRPr="00064687">
        <w:rPr>
          <w:sz w:val="28"/>
          <w:szCs w:val="28"/>
        </w:rPr>
        <w:t xml:space="preserve">5. </w:t>
      </w:r>
      <w:r w:rsidRPr="00064687">
        <w:rPr>
          <w:rStyle w:val="Pogrubienie"/>
          <w:sz w:val="28"/>
          <w:szCs w:val="28"/>
        </w:rPr>
        <w:t xml:space="preserve">Największe zagrożenia dotyczą unijnego rolnictwa i jakości żywności </w:t>
      </w:r>
      <w:r w:rsidRPr="00064687">
        <w:rPr>
          <w:sz w:val="28"/>
          <w:szCs w:val="28"/>
        </w:rPr>
        <w:t xml:space="preserve">- </w:t>
      </w:r>
      <w:r w:rsidRPr="00064687">
        <w:rPr>
          <w:rStyle w:val="Uwydatnienie"/>
          <w:sz w:val="28"/>
          <w:szCs w:val="28"/>
        </w:rPr>
        <w:t xml:space="preserve">m.in. za </w:t>
      </w:r>
      <w:proofErr w:type="spellStart"/>
      <w:r w:rsidRPr="00064687">
        <w:rPr>
          <w:rStyle w:val="Uwydatnienie"/>
          <w:sz w:val="28"/>
          <w:szCs w:val="28"/>
        </w:rPr>
        <w:t>European</w:t>
      </w:r>
      <w:proofErr w:type="spellEnd"/>
      <w:r w:rsidRPr="00064687">
        <w:rPr>
          <w:rStyle w:val="Uwydatnienie"/>
          <w:sz w:val="28"/>
          <w:szCs w:val="28"/>
        </w:rPr>
        <w:t xml:space="preserve"> </w:t>
      </w:r>
      <w:proofErr w:type="spellStart"/>
      <w:r w:rsidRPr="00064687">
        <w:rPr>
          <w:rStyle w:val="Uwydatnienie"/>
          <w:sz w:val="28"/>
          <w:szCs w:val="28"/>
        </w:rPr>
        <w:t>Parliament</w:t>
      </w:r>
      <w:proofErr w:type="spellEnd"/>
      <w:r w:rsidRPr="00064687">
        <w:rPr>
          <w:rStyle w:val="Uwydatnienie"/>
          <w:sz w:val="28"/>
          <w:szCs w:val="28"/>
        </w:rPr>
        <w:t xml:space="preserve"> </w:t>
      </w:r>
      <w:proofErr w:type="spellStart"/>
      <w:r w:rsidRPr="00064687">
        <w:rPr>
          <w:rStyle w:val="Uwydatnienie"/>
          <w:sz w:val="28"/>
          <w:szCs w:val="28"/>
        </w:rPr>
        <w:t>study</w:t>
      </w:r>
      <w:proofErr w:type="spellEnd"/>
      <w:r w:rsidRPr="00064687">
        <w:rPr>
          <w:rStyle w:val="Uwydatnienie"/>
          <w:sz w:val="28"/>
          <w:szCs w:val="28"/>
        </w:rPr>
        <w:t xml:space="preserve"> (2014):</w:t>
      </w:r>
    </w:p>
    <w:p w:rsidR="008B778F" w:rsidRPr="00064687" w:rsidRDefault="008B778F" w:rsidP="004C1FD9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064687">
        <w:rPr>
          <w:sz w:val="28"/>
          <w:szCs w:val="28"/>
        </w:rPr>
        <w:t>małe rodzinne gospodarstwa w UE (średnia ok. 14 ha) nie są w stanie konkurować z mega farmami w USA (średnia ok.  190 ha). Już teraz drobni rolnicy unijni, w tym polscy, nie wytrzymują konkurencji na rynku. Kto poniesie koszty zwiększonego ich bezrobocia? Przecież nie duże korporacje międzynarodowe...</w:t>
      </w:r>
    </w:p>
    <w:p w:rsidR="008B778F" w:rsidRPr="00064687" w:rsidRDefault="008B778F" w:rsidP="004C1FD9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064687">
        <w:rPr>
          <w:sz w:val="28"/>
          <w:szCs w:val="28"/>
        </w:rPr>
        <w:t>różnice w modelach rolnictwa (wielofunkcyjny w UE i przemysłowy w USA)</w:t>
      </w:r>
    </w:p>
    <w:p w:rsidR="008B778F" w:rsidRPr="00064687" w:rsidRDefault="008B778F" w:rsidP="004C1FD9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064687">
        <w:rPr>
          <w:sz w:val="28"/>
          <w:szCs w:val="28"/>
        </w:rPr>
        <w:t xml:space="preserve">wyższe koszty produkcji w UE wynikają także ze stosowania wyższych standardów m.in. dotyczących dobrostanu zwierząt (w USA stosuje się hormony wzrostu i hormony stymulujące mleczność krów, a w UE zabronione od 2000 r.) </w:t>
      </w:r>
    </w:p>
    <w:p w:rsidR="008B778F" w:rsidRPr="00064687" w:rsidRDefault="008B778F" w:rsidP="004C1FD9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064687">
        <w:rPr>
          <w:sz w:val="28"/>
          <w:szCs w:val="28"/>
        </w:rPr>
        <w:t>zupełnie odrębne rozwiązania dotyczące GMO, co może być „koniem trojańskim” dla pasz i żywności oraz zdrowia konsumentów w UE(restrykcje w zatwierdzaniu GMO w UE i brak takowych w USA, a nawet brak oznakowania pasz i żywności etykietami z informacją o GMO)</w:t>
      </w:r>
    </w:p>
    <w:p w:rsidR="008B778F" w:rsidRPr="00064687" w:rsidRDefault="008B778F" w:rsidP="004C1FD9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064687">
        <w:rPr>
          <w:sz w:val="28"/>
          <w:szCs w:val="28"/>
        </w:rPr>
        <w:t>różnice w rejestracji pestycydów (82 substancje aktywne są zabronione w UE z powodu zagrożenia dla zdrowia ludzi, zwierząt i środowiska, ale są do</w:t>
      </w:r>
      <w:r w:rsidRPr="00064687">
        <w:rPr>
          <w:sz w:val="28"/>
          <w:szCs w:val="28"/>
        </w:rPr>
        <w:softHyphen/>
        <w:t xml:space="preserve">puszczone w USA - </w:t>
      </w:r>
      <w:proofErr w:type="spellStart"/>
      <w:r w:rsidRPr="00064687">
        <w:rPr>
          <w:rStyle w:val="Uwydatnienie"/>
          <w:sz w:val="28"/>
          <w:szCs w:val="28"/>
        </w:rPr>
        <w:t>Erica</w:t>
      </w:r>
      <w:proofErr w:type="spellEnd"/>
      <w:r w:rsidRPr="00064687">
        <w:rPr>
          <w:rStyle w:val="Uwydatnienie"/>
          <w:sz w:val="28"/>
          <w:szCs w:val="28"/>
        </w:rPr>
        <w:t xml:space="preserve"> </w:t>
      </w:r>
      <w:proofErr w:type="spellStart"/>
      <w:r w:rsidRPr="00064687">
        <w:rPr>
          <w:rStyle w:val="Uwydatnienie"/>
          <w:sz w:val="28"/>
          <w:szCs w:val="28"/>
        </w:rPr>
        <w:t>Smith</w:t>
      </w:r>
      <w:proofErr w:type="spellEnd"/>
      <w:r w:rsidRPr="00064687">
        <w:rPr>
          <w:rStyle w:val="Uwydatnienie"/>
          <w:sz w:val="28"/>
          <w:szCs w:val="28"/>
        </w:rPr>
        <w:t xml:space="preserve">, </w:t>
      </w:r>
      <w:proofErr w:type="spellStart"/>
      <w:r w:rsidRPr="00064687">
        <w:rPr>
          <w:rStyle w:val="Uwydatnienie"/>
          <w:sz w:val="28"/>
          <w:szCs w:val="28"/>
        </w:rPr>
        <w:t>European</w:t>
      </w:r>
      <w:proofErr w:type="spellEnd"/>
      <w:r w:rsidRPr="00064687">
        <w:rPr>
          <w:rStyle w:val="Uwydatnienie"/>
          <w:sz w:val="28"/>
          <w:szCs w:val="28"/>
        </w:rPr>
        <w:t xml:space="preserve"> </w:t>
      </w:r>
      <w:proofErr w:type="spellStart"/>
      <w:r w:rsidRPr="00064687">
        <w:rPr>
          <w:rStyle w:val="Uwydatnienie"/>
          <w:sz w:val="28"/>
          <w:szCs w:val="28"/>
        </w:rPr>
        <w:t>Parliament</w:t>
      </w:r>
      <w:proofErr w:type="spellEnd"/>
      <w:r w:rsidRPr="00064687">
        <w:rPr>
          <w:rStyle w:val="Uwydatnienie"/>
          <w:sz w:val="28"/>
          <w:szCs w:val="28"/>
        </w:rPr>
        <w:t xml:space="preserve"> Conference, Bruksela 2014</w:t>
      </w:r>
    </w:p>
    <w:p w:rsidR="008B778F" w:rsidRPr="00064687" w:rsidRDefault="008B778F" w:rsidP="004C1FD9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064687">
        <w:rPr>
          <w:sz w:val="28"/>
          <w:szCs w:val="28"/>
        </w:rPr>
        <w:t>różnice w jakości pasz (w USA stosowane są antybiotyki, w UE zabronione w UE od 2006 r. za wyłączeniem pasz leczniczych i środ</w:t>
      </w:r>
      <w:r w:rsidRPr="00064687">
        <w:rPr>
          <w:sz w:val="28"/>
          <w:szCs w:val="28"/>
        </w:rPr>
        <w:softHyphen/>
        <w:t>ków leczenia zwierząt)</w:t>
      </w:r>
    </w:p>
    <w:p w:rsidR="008B778F" w:rsidRPr="00064687" w:rsidRDefault="008B778F" w:rsidP="004C1FD9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064687">
        <w:rPr>
          <w:sz w:val="28"/>
          <w:szCs w:val="28"/>
        </w:rPr>
        <w:t>Skutki dla UE: destrukcja przemysłu, rolnictwa i środowiska np. GMO, niższe płace, dalsza prywatyzacja służby zdrowia..</w:t>
      </w:r>
    </w:p>
    <w:p w:rsidR="008B778F" w:rsidRPr="00064687" w:rsidRDefault="008B778F" w:rsidP="008B778F">
      <w:pPr>
        <w:pStyle w:val="Akapitzlist"/>
        <w:ind w:left="284"/>
        <w:jc w:val="both"/>
        <w:rPr>
          <w:sz w:val="28"/>
          <w:szCs w:val="28"/>
        </w:rPr>
      </w:pPr>
      <w:r w:rsidRPr="00064687">
        <w:rPr>
          <w:sz w:val="28"/>
          <w:szCs w:val="28"/>
        </w:rPr>
        <w:t> </w:t>
      </w:r>
    </w:p>
    <w:p w:rsidR="008B778F" w:rsidRPr="00CA16FB" w:rsidRDefault="004C1FD9" w:rsidP="008B778F">
      <w:pPr>
        <w:pStyle w:val="Akapitzlist"/>
        <w:ind w:left="284" w:hanging="284"/>
        <w:jc w:val="both"/>
        <w:rPr>
          <w:b/>
          <w:sz w:val="28"/>
          <w:szCs w:val="28"/>
        </w:rPr>
      </w:pPr>
      <w:r w:rsidRPr="00064687">
        <w:rPr>
          <w:sz w:val="28"/>
          <w:szCs w:val="28"/>
        </w:rPr>
        <w:t xml:space="preserve">6. </w:t>
      </w:r>
      <w:r w:rsidR="008B778F" w:rsidRPr="00CA16FB">
        <w:rPr>
          <w:b/>
          <w:sz w:val="28"/>
          <w:szCs w:val="28"/>
        </w:rPr>
        <w:t xml:space="preserve">Teza Wicepremiera Morawieckiego, że </w:t>
      </w:r>
      <w:r w:rsidR="008B778F" w:rsidRPr="00CA16FB">
        <w:rPr>
          <w:rStyle w:val="Uwydatnienie"/>
          <w:b/>
          <w:sz w:val="28"/>
          <w:szCs w:val="28"/>
        </w:rPr>
        <w:t>" Z punktu widzenia Polski, kluczowe znaczenie ma kwestia dostępu polskich małych i średnich przedsiębiorstw do amerykańskiego rynku...”</w:t>
      </w:r>
      <w:r w:rsidR="00CA16FB">
        <w:rPr>
          <w:rStyle w:val="Uwydatnienie"/>
          <w:b/>
          <w:sz w:val="28"/>
          <w:szCs w:val="28"/>
        </w:rPr>
        <w:t xml:space="preserve"> </w:t>
      </w:r>
      <w:r w:rsidR="008B778F" w:rsidRPr="00CA16FB">
        <w:rPr>
          <w:b/>
          <w:sz w:val="28"/>
          <w:szCs w:val="28"/>
        </w:rPr>
        <w:t xml:space="preserve">jest powtórzeniem propagandowym zwolenników TTIP o czym świadczą efekty m.in. Meksyku po zawarciu umowy NAFTA i trudności w dostępie tych przedsiębiorstw już teraz obserwowane nawet na rynku krajowym (zwraca na to uwagę Jan Sposób). Wszelkie przesłanki wskazują, że beneficjentami będą duże korporacje (kontrolują 80% obecnej wymiany handlowej UU-USA). A więc będzie to to raczej pogwałcenie unijnego prawa o </w:t>
      </w:r>
      <w:r w:rsidR="008B778F" w:rsidRPr="00CA16FB">
        <w:rPr>
          <w:rStyle w:val="Pogrubienie"/>
          <w:b w:val="0"/>
          <w:sz w:val="28"/>
          <w:szCs w:val="28"/>
        </w:rPr>
        <w:t xml:space="preserve">zrównoważonym modelu rozwoju  przyjętym przez Unię Europejską </w:t>
      </w:r>
      <w:r w:rsidR="008B778F" w:rsidRPr="00CA16FB">
        <w:rPr>
          <w:rStyle w:val="Uwydatnienie"/>
          <w:b/>
          <w:bCs/>
          <w:sz w:val="28"/>
          <w:szCs w:val="28"/>
        </w:rPr>
        <w:t>(Art. 3 Traktatu o Unii Europejskiej)</w:t>
      </w:r>
    </w:p>
    <w:p w:rsidR="008B778F" w:rsidRPr="00064687" w:rsidRDefault="008B778F" w:rsidP="008B778F">
      <w:pPr>
        <w:pStyle w:val="Akapitzlist"/>
        <w:ind w:left="284"/>
        <w:jc w:val="both"/>
        <w:rPr>
          <w:sz w:val="28"/>
          <w:szCs w:val="28"/>
        </w:rPr>
      </w:pPr>
      <w:r w:rsidRPr="00064687">
        <w:rPr>
          <w:sz w:val="28"/>
          <w:szCs w:val="28"/>
        </w:rPr>
        <w:t> </w:t>
      </w:r>
    </w:p>
    <w:p w:rsidR="008B778F" w:rsidRPr="00CA16FB" w:rsidRDefault="004C1FD9" w:rsidP="008B778F">
      <w:pPr>
        <w:pStyle w:val="Akapitzlist"/>
        <w:ind w:left="284" w:hanging="284"/>
        <w:jc w:val="both"/>
        <w:rPr>
          <w:sz w:val="28"/>
          <w:szCs w:val="28"/>
        </w:rPr>
      </w:pPr>
      <w:r w:rsidRPr="00064687">
        <w:rPr>
          <w:rStyle w:val="Pogrubienie"/>
          <w:sz w:val="28"/>
          <w:szCs w:val="28"/>
        </w:rPr>
        <w:t xml:space="preserve">7. </w:t>
      </w:r>
      <w:r w:rsidR="008B778F" w:rsidRPr="00CA16FB">
        <w:rPr>
          <w:rStyle w:val="Pogrubienie"/>
          <w:sz w:val="28"/>
          <w:szCs w:val="28"/>
        </w:rPr>
        <w:t>Mechanizm rozstrzygania sporów inwestor-przeciw państwu</w:t>
      </w:r>
      <w:r w:rsidR="008B778F" w:rsidRPr="00CA16FB">
        <w:rPr>
          <w:rStyle w:val="Pogrubienie"/>
          <w:b w:val="0"/>
          <w:sz w:val="28"/>
          <w:szCs w:val="28"/>
        </w:rPr>
        <w:t xml:space="preserve"> ISDS</w:t>
      </w:r>
      <w:r w:rsidR="008B778F" w:rsidRPr="00CA16FB">
        <w:rPr>
          <w:b/>
          <w:sz w:val="28"/>
          <w:szCs w:val="28"/>
        </w:rPr>
        <w:t xml:space="preserve"> (ang. </w:t>
      </w:r>
      <w:r w:rsidR="006A6319">
        <w:rPr>
          <w:b/>
          <w:sz w:val="28"/>
          <w:szCs w:val="28"/>
        </w:rPr>
        <w:t xml:space="preserve">Inwestor </w:t>
      </w:r>
      <w:bookmarkStart w:id="0" w:name="_GoBack"/>
      <w:bookmarkEnd w:id="0"/>
      <w:r w:rsidR="008B778F" w:rsidRPr="00CA16FB">
        <w:rPr>
          <w:b/>
          <w:sz w:val="28"/>
          <w:szCs w:val="28"/>
        </w:rPr>
        <w:t>- to-</w:t>
      </w:r>
      <w:proofErr w:type="spellStart"/>
      <w:r w:rsidR="008B778F" w:rsidRPr="00CA16FB">
        <w:rPr>
          <w:b/>
          <w:sz w:val="28"/>
          <w:szCs w:val="28"/>
        </w:rPr>
        <w:t>state</w:t>
      </w:r>
      <w:proofErr w:type="spellEnd"/>
      <w:r w:rsidR="008B778F" w:rsidRPr="00CA16FB">
        <w:rPr>
          <w:b/>
          <w:sz w:val="28"/>
          <w:szCs w:val="28"/>
        </w:rPr>
        <w:t xml:space="preserve"> </w:t>
      </w:r>
      <w:proofErr w:type="spellStart"/>
      <w:r w:rsidR="008B778F" w:rsidRPr="00CA16FB">
        <w:rPr>
          <w:b/>
          <w:sz w:val="28"/>
          <w:szCs w:val="28"/>
        </w:rPr>
        <w:t>dispute</w:t>
      </w:r>
      <w:proofErr w:type="spellEnd"/>
      <w:r w:rsidR="008B778F" w:rsidRPr="00CA16FB">
        <w:rPr>
          <w:b/>
          <w:sz w:val="28"/>
          <w:szCs w:val="28"/>
        </w:rPr>
        <w:t xml:space="preserve"> </w:t>
      </w:r>
      <w:proofErr w:type="spellStart"/>
      <w:r w:rsidR="008B778F" w:rsidRPr="00CA16FB">
        <w:rPr>
          <w:b/>
          <w:sz w:val="28"/>
          <w:szCs w:val="28"/>
        </w:rPr>
        <w:t>settlement</w:t>
      </w:r>
      <w:proofErr w:type="spellEnd"/>
      <w:r w:rsidR="008B778F" w:rsidRPr="00CA16FB">
        <w:rPr>
          <w:b/>
          <w:sz w:val="28"/>
          <w:szCs w:val="28"/>
        </w:rPr>
        <w:t xml:space="preserve">), który umożliwia inwestorom zagranicznym obejście systemu prawnego kraju w którym prowadzone są inwestycje i zaskarżenie go przed prywatnym trybunałem arbitrażowym. Grozi to zburzeniem porządku prawnego tych państw, a jednocześnie stanowi mechanizm  wyłudzania pieniędzy od tych państw. </w:t>
      </w:r>
      <w:r w:rsidR="008B778F" w:rsidRPr="00CA16FB">
        <w:rPr>
          <w:sz w:val="28"/>
          <w:szCs w:val="28"/>
        </w:rPr>
        <w:t>Korporacja praktycznie może zaskarżyć każdy unijny czy krajowy akt prawny i żądać horrendalnego odszkodowania za rzekomo utracone zyski. Przykłady:</w:t>
      </w:r>
    </w:p>
    <w:p w:rsidR="008B778F" w:rsidRPr="00064687" w:rsidRDefault="008B778F" w:rsidP="0067449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064687">
        <w:rPr>
          <w:sz w:val="28"/>
          <w:szCs w:val="28"/>
        </w:rPr>
        <w:t xml:space="preserve">Od początku lat 90-tych ub. wieku liczba sporów inwestycyjnych wzrasta; w 2013 r.  było już   56 spraw arbitrażowych, a łączna liczba znanych spraw wzrosła do 568 i dotyczy 98 państw </w:t>
      </w:r>
      <w:r w:rsidRPr="00064687">
        <w:rPr>
          <w:rStyle w:val="Uwydatnienie"/>
          <w:sz w:val="28"/>
          <w:szCs w:val="28"/>
        </w:rPr>
        <w:t>(World Investment Report 2014)</w:t>
      </w:r>
    </w:p>
    <w:p w:rsidR="008B778F" w:rsidRPr="00064687" w:rsidRDefault="008B778F" w:rsidP="0067449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064687">
        <w:rPr>
          <w:sz w:val="28"/>
          <w:szCs w:val="28"/>
        </w:rPr>
        <w:t xml:space="preserve">W 2012 r. brytyjski koncern Churchill </w:t>
      </w:r>
      <w:proofErr w:type="spellStart"/>
      <w:r w:rsidRPr="00064687">
        <w:rPr>
          <w:sz w:val="28"/>
          <w:szCs w:val="28"/>
        </w:rPr>
        <w:t>Mining</w:t>
      </w:r>
      <w:proofErr w:type="spellEnd"/>
      <w:r w:rsidRPr="00064687">
        <w:rPr>
          <w:sz w:val="28"/>
          <w:szCs w:val="28"/>
        </w:rPr>
        <w:t xml:space="preserve"> pozwał Indonezję  i domaga się ponad 1 mld USD rekompensaty </w:t>
      </w:r>
    </w:p>
    <w:p w:rsidR="008B778F" w:rsidRPr="00064687" w:rsidRDefault="008B778F" w:rsidP="0067449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064687">
        <w:rPr>
          <w:sz w:val="28"/>
          <w:szCs w:val="28"/>
        </w:rPr>
        <w:t xml:space="preserve">W 2012 r. trybunał arbitrażowy nakazał Ekwadorowi zapłacenie </w:t>
      </w:r>
      <w:r w:rsidRPr="00064687">
        <w:rPr>
          <w:rStyle w:val="Pogrubienie"/>
          <w:sz w:val="28"/>
          <w:szCs w:val="28"/>
        </w:rPr>
        <w:t>1,77 mln USD</w:t>
      </w:r>
      <w:r w:rsidRPr="00064687">
        <w:rPr>
          <w:sz w:val="28"/>
          <w:szCs w:val="28"/>
        </w:rPr>
        <w:t xml:space="preserve"> w ramach rekompensaty amerykańskiej firmie Occidental Petrolem plus </w:t>
      </w:r>
      <w:r w:rsidRPr="00064687">
        <w:rPr>
          <w:rStyle w:val="Pogrubienie"/>
          <w:sz w:val="28"/>
          <w:szCs w:val="28"/>
        </w:rPr>
        <w:t>2,4 mld USD</w:t>
      </w:r>
      <w:r w:rsidRPr="00064687">
        <w:rPr>
          <w:sz w:val="28"/>
          <w:szCs w:val="28"/>
        </w:rPr>
        <w:t xml:space="preserve"> jako odsetki i koszty postępowania prawnego (</w:t>
      </w:r>
      <w:r w:rsidRPr="00064687">
        <w:rPr>
          <w:rStyle w:val="Uwydatnienie"/>
          <w:sz w:val="28"/>
          <w:szCs w:val="28"/>
        </w:rPr>
        <w:t xml:space="preserve">Międzynarodowe umowy inwestycyjne pod lupą, </w:t>
      </w:r>
      <w:proofErr w:type="spellStart"/>
      <w:r w:rsidRPr="00064687">
        <w:rPr>
          <w:rStyle w:val="Uwydatnienie"/>
          <w:sz w:val="28"/>
          <w:szCs w:val="28"/>
        </w:rPr>
        <w:t>Traidcraft</w:t>
      </w:r>
      <w:proofErr w:type="spellEnd"/>
      <w:r w:rsidRPr="00064687">
        <w:rPr>
          <w:rStyle w:val="Uwydatnienie"/>
          <w:sz w:val="28"/>
          <w:szCs w:val="28"/>
        </w:rPr>
        <w:t xml:space="preserve"> 2015</w:t>
      </w:r>
      <w:r w:rsidRPr="00064687">
        <w:rPr>
          <w:sz w:val="28"/>
          <w:szCs w:val="28"/>
        </w:rPr>
        <w:t>)</w:t>
      </w:r>
    </w:p>
    <w:p w:rsidR="008B778F" w:rsidRPr="00064687" w:rsidRDefault="008B778F" w:rsidP="0067449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064687">
        <w:rPr>
          <w:sz w:val="28"/>
          <w:szCs w:val="28"/>
        </w:rPr>
        <w:t xml:space="preserve">127 spraw arbitrażowych przeciwko państwom UE od 1994 roku; wartość roszczeń </w:t>
      </w:r>
      <w:r w:rsidRPr="00064687">
        <w:rPr>
          <w:rStyle w:val="Pogrubienie"/>
          <w:sz w:val="28"/>
          <w:szCs w:val="28"/>
        </w:rPr>
        <w:t xml:space="preserve">30 mld EUR </w:t>
      </w:r>
      <w:r w:rsidRPr="00064687">
        <w:rPr>
          <w:sz w:val="28"/>
          <w:szCs w:val="28"/>
        </w:rPr>
        <w:t xml:space="preserve">, 3,5 mld EUR wypłacono (67) </w:t>
      </w:r>
    </w:p>
    <w:p w:rsidR="008B778F" w:rsidRPr="00064687" w:rsidRDefault="008B778F" w:rsidP="0067449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064687">
        <w:rPr>
          <w:sz w:val="28"/>
          <w:szCs w:val="28"/>
        </w:rPr>
        <w:t>20.000  przedsiębiorstw USA (50.000  podmiotów zależnych) jest w stanie pozwać UE     plus państwa członkowskie</w:t>
      </w:r>
    </w:p>
    <w:p w:rsidR="008B778F" w:rsidRPr="00064687" w:rsidRDefault="008B778F" w:rsidP="0067449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064687">
        <w:rPr>
          <w:sz w:val="28"/>
          <w:szCs w:val="28"/>
        </w:rPr>
        <w:t xml:space="preserve">Polska jest jednym z najbardziej „oskarżanych” państw. Jest stroną ponad 60 umów objętych przepisami ISDS; 16 znanych przypadków wniesionych przeciwko Polsce - żądania na </w:t>
      </w:r>
      <w:r w:rsidRPr="00064687">
        <w:rPr>
          <w:rStyle w:val="Pogrubienie"/>
          <w:sz w:val="28"/>
          <w:szCs w:val="28"/>
        </w:rPr>
        <w:t>12 mld EUR</w:t>
      </w:r>
      <w:r w:rsidRPr="00064687">
        <w:rPr>
          <w:sz w:val="28"/>
          <w:szCs w:val="28"/>
        </w:rPr>
        <w:t xml:space="preserve">, dotychczas wypłacono </w:t>
      </w:r>
      <w:r w:rsidRPr="00064687">
        <w:rPr>
          <w:rStyle w:val="Pogrubienie"/>
          <w:sz w:val="28"/>
          <w:szCs w:val="28"/>
        </w:rPr>
        <w:t>2,2 mld EUR</w:t>
      </w:r>
    </w:p>
    <w:p w:rsidR="008B778F" w:rsidRPr="00064687" w:rsidRDefault="008B778F" w:rsidP="0067449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064687">
        <w:rPr>
          <w:sz w:val="28"/>
          <w:szCs w:val="28"/>
        </w:rPr>
        <w:t xml:space="preserve">Proces prywatyzacji PZU przez firmę </w:t>
      </w:r>
      <w:proofErr w:type="spellStart"/>
      <w:r w:rsidRPr="00064687">
        <w:rPr>
          <w:sz w:val="28"/>
          <w:szCs w:val="28"/>
        </w:rPr>
        <w:t>Eureco</w:t>
      </w:r>
      <w:proofErr w:type="spellEnd"/>
      <w:r w:rsidRPr="00064687">
        <w:rPr>
          <w:sz w:val="28"/>
          <w:szCs w:val="28"/>
        </w:rPr>
        <w:t xml:space="preserve"> kosztował Polskę</w:t>
      </w:r>
      <w:r w:rsidRPr="00064687">
        <w:rPr>
          <w:rStyle w:val="Pogrubienie"/>
          <w:sz w:val="28"/>
          <w:szCs w:val="28"/>
        </w:rPr>
        <w:t xml:space="preserve"> 2 mld euro </w:t>
      </w:r>
    </w:p>
    <w:p w:rsidR="008A3B89" w:rsidRDefault="008B778F" w:rsidP="00CA16FB">
      <w:pPr>
        <w:pStyle w:val="Akapitzlist"/>
        <w:numPr>
          <w:ilvl w:val="0"/>
          <w:numId w:val="6"/>
        </w:numPr>
        <w:spacing w:after="240"/>
        <w:jc w:val="both"/>
      </w:pPr>
      <w:r w:rsidRPr="00CA16FB">
        <w:rPr>
          <w:sz w:val="28"/>
          <w:szCs w:val="28"/>
        </w:rPr>
        <w:t xml:space="preserve">Nieznany bliżej opinii publicznej udziałowiec firmy P4 – operatora sieci Play – zarejestrowana w Luksemburgu firma </w:t>
      </w:r>
      <w:proofErr w:type="spellStart"/>
      <w:r w:rsidRPr="00CA16FB">
        <w:rPr>
          <w:sz w:val="28"/>
          <w:szCs w:val="28"/>
        </w:rPr>
        <w:t>Telco</w:t>
      </w:r>
      <w:proofErr w:type="spellEnd"/>
      <w:r w:rsidRPr="00CA16FB">
        <w:rPr>
          <w:sz w:val="28"/>
          <w:szCs w:val="28"/>
        </w:rPr>
        <w:t xml:space="preserve"> Holdings, na mocy dwustronnej umowy o ochronie inwestycji pomiędzy Polską a Luksemburgiem zagroziła pozwem do międzynarodowego trybunału arbitrażowego ISDS o odszkodowanie właśnie w wysokości </w:t>
      </w:r>
      <w:r w:rsidRPr="00CA16FB">
        <w:rPr>
          <w:rStyle w:val="Pogrubienie"/>
          <w:sz w:val="28"/>
          <w:szCs w:val="28"/>
        </w:rPr>
        <w:t>500 mln EUR</w:t>
      </w:r>
      <w:r w:rsidRPr="00CA16FB">
        <w:rPr>
          <w:sz w:val="28"/>
          <w:szCs w:val="28"/>
        </w:rPr>
        <w:t>.</w:t>
      </w:r>
    </w:p>
    <w:sectPr w:rsidR="008A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6234"/>
    <w:multiLevelType w:val="hybridMultilevel"/>
    <w:tmpl w:val="5CF0B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D7B47"/>
    <w:multiLevelType w:val="hybridMultilevel"/>
    <w:tmpl w:val="56684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82AC1"/>
    <w:multiLevelType w:val="hybridMultilevel"/>
    <w:tmpl w:val="C69C0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E5782"/>
    <w:multiLevelType w:val="hybridMultilevel"/>
    <w:tmpl w:val="A6826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A5BA4"/>
    <w:multiLevelType w:val="hybridMultilevel"/>
    <w:tmpl w:val="E6CA6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D4F56"/>
    <w:multiLevelType w:val="hybridMultilevel"/>
    <w:tmpl w:val="C3ECB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8F"/>
    <w:rsid w:val="00064687"/>
    <w:rsid w:val="002C2C14"/>
    <w:rsid w:val="004C1FD9"/>
    <w:rsid w:val="00674491"/>
    <w:rsid w:val="006A6319"/>
    <w:rsid w:val="008A3B89"/>
    <w:rsid w:val="008B778F"/>
    <w:rsid w:val="00CA16FB"/>
    <w:rsid w:val="00F614A9"/>
    <w:rsid w:val="00FD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778F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8B778F"/>
    <w:pPr>
      <w:spacing w:after="0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B778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B778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B778F"/>
    <w:rPr>
      <w:i/>
      <w:iCs/>
    </w:rPr>
  </w:style>
  <w:style w:type="paragraph" w:customStyle="1" w:styleId="pa0">
    <w:name w:val="pa0"/>
    <w:basedOn w:val="Normalny"/>
    <w:rsid w:val="008B778F"/>
    <w:pPr>
      <w:spacing w:after="0" w:line="240" w:lineRule="auto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778F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8B778F"/>
    <w:pPr>
      <w:spacing w:after="0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B778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B778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B778F"/>
    <w:rPr>
      <w:i/>
      <w:iCs/>
    </w:rPr>
  </w:style>
  <w:style w:type="paragraph" w:customStyle="1" w:styleId="pa0">
    <w:name w:val="pa0"/>
    <w:basedOn w:val="Normalny"/>
    <w:rsid w:val="008B778F"/>
    <w:pPr>
      <w:spacing w:after="0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Unia_Europejska" TargetMode="External"/><Relationship Id="rId13" Type="http://schemas.openxmlformats.org/officeDocument/2006/relationships/hyperlink" Target="https://pl.wikipedia.org/wiki/Stany_Zjednoczo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Stany_Zjednoczone" TargetMode="External"/><Relationship Id="rId12" Type="http://schemas.openxmlformats.org/officeDocument/2006/relationships/hyperlink" Target="https://pl.wikipedia.org/wiki/Komisja_Europejsk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Strefa_wolnego_handlu" TargetMode="External"/><Relationship Id="rId11" Type="http://schemas.openxmlformats.org/officeDocument/2006/relationships/hyperlink" Target="https://pl.wikipedia.org/wiki/C%C5%82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Meksyk" TargetMode="External"/><Relationship Id="rId10" Type="http://schemas.openxmlformats.org/officeDocument/2006/relationships/hyperlink" Target="https://pl.wikipedia.org/wiki/Miejsce_pr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Karel_De_Gucht" TargetMode="External"/><Relationship Id="rId14" Type="http://schemas.openxmlformats.org/officeDocument/2006/relationships/hyperlink" Target="https://pl.wikipedia.org/wiki/Kanad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1412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W.D.</dc:creator>
  <cp:lastModifiedBy>W.D.</cp:lastModifiedBy>
  <cp:revision>1</cp:revision>
  <dcterms:created xsi:type="dcterms:W3CDTF">2016-03-04T17:19:00Z</dcterms:created>
  <dcterms:modified xsi:type="dcterms:W3CDTF">2016-03-04T18:01:00Z</dcterms:modified>
</cp:coreProperties>
</file>